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4233" w14:textId="5E0737A2" w:rsidR="001E5075" w:rsidRPr="001E5075" w:rsidRDefault="001E5075" w:rsidP="001E5075">
      <w:pPr>
        <w:pStyle w:val="Heading3"/>
        <w:rPr>
          <w:rFonts w:ascii="Public Sans Light" w:hAnsi="Public Sans Light"/>
        </w:rPr>
      </w:pPr>
      <w:r w:rsidRPr="001E5075">
        <w:rPr>
          <w:rFonts w:ascii="Public Sans Light" w:hAnsi="Public Sans Light"/>
        </w:rPr>
        <w:t>Feedback and Questions on Proposed Restrictive Practices Legislative Framework</w:t>
      </w:r>
    </w:p>
    <w:p w14:paraId="2C8E8661" w14:textId="77777777" w:rsidR="001E5075" w:rsidRPr="001E5075" w:rsidRDefault="001E5075" w:rsidP="001E5075">
      <w:p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Thank you for the opportunity to provide feedback on the proposed public consultation paper. Below are my observations, concerns, and questions related to the implications of the legislative framework for the acute care setting, particularly concerning infrastructure, implementation, and alignment with existing policies.</w:t>
      </w:r>
    </w:p>
    <w:p w14:paraId="72C607A2" w14:textId="77777777" w:rsidR="001E5075" w:rsidRPr="001E5075" w:rsidRDefault="00AA207F" w:rsidP="001E5075">
      <w:pPr>
        <w:rPr>
          <w:rFonts w:ascii="Public Sans Light" w:eastAsia="Times New Roman" w:hAnsi="Public Sans Light" w:cs="Times New Roman"/>
          <w:sz w:val="24"/>
          <w:szCs w:val="24"/>
          <w:lang w:eastAsia="en-AU"/>
        </w:rPr>
      </w:pPr>
      <w:r>
        <w:rPr>
          <w:rFonts w:ascii="Public Sans Light" w:eastAsia="Times New Roman" w:hAnsi="Public Sans Light" w:cs="Times New Roman"/>
          <w:sz w:val="24"/>
          <w:szCs w:val="24"/>
          <w:lang w:eastAsia="en-AU"/>
        </w:rPr>
        <w:pict w14:anchorId="788F62B4">
          <v:rect id="_x0000_i1025" style="width:0;height:1.5pt" o:hralign="center" o:hrstd="t" o:hr="t" fillcolor="#a0a0a0" stroked="f"/>
        </w:pict>
      </w:r>
    </w:p>
    <w:p w14:paraId="321FCE3C" w14:textId="77777777" w:rsidR="001E5075" w:rsidRPr="001E5075" w:rsidRDefault="001E5075" w:rsidP="001E5075">
      <w:pPr>
        <w:spacing w:before="100" w:beforeAutospacing="1" w:after="100" w:afterAutospacing="1"/>
        <w:outlineLvl w:val="3"/>
        <w:rPr>
          <w:rFonts w:ascii="Public Sans Light" w:eastAsia="Times New Roman" w:hAnsi="Public Sans Light" w:cs="Times New Roman"/>
          <w:b/>
          <w:bCs/>
          <w:sz w:val="24"/>
          <w:szCs w:val="24"/>
          <w:lang w:eastAsia="en-AU"/>
        </w:rPr>
      </w:pPr>
      <w:r w:rsidRPr="001E5075">
        <w:rPr>
          <w:rFonts w:ascii="Public Sans Light" w:eastAsia="Times New Roman" w:hAnsi="Public Sans Light" w:cs="Times New Roman"/>
          <w:b/>
          <w:bCs/>
          <w:sz w:val="24"/>
          <w:szCs w:val="24"/>
          <w:lang w:eastAsia="en-AU"/>
        </w:rPr>
        <w:t>General Concerns:</w:t>
      </w:r>
    </w:p>
    <w:p w14:paraId="09379B5B" w14:textId="77777777" w:rsidR="001E5075" w:rsidRPr="001E5075" w:rsidRDefault="001E5075" w:rsidP="001E5075">
      <w:pPr>
        <w:numPr>
          <w:ilvl w:val="0"/>
          <w:numId w:val="3"/>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Clarity on Interaction with Existing Policy:</w:t>
      </w:r>
      <w:r w:rsidRPr="001E5075">
        <w:rPr>
          <w:rFonts w:ascii="Public Sans Light" w:eastAsia="Times New Roman" w:hAnsi="Public Sans Light" w:cs="Times New Roman"/>
          <w:sz w:val="24"/>
          <w:szCs w:val="24"/>
          <w:lang w:eastAsia="en-AU"/>
        </w:rPr>
        <w:t xml:space="preserve"> The NSW Health Policy Directive 2020_004 </w:t>
      </w:r>
      <w:r w:rsidRPr="001E5075">
        <w:rPr>
          <w:rFonts w:ascii="Public Sans Light" w:eastAsia="Times New Roman" w:hAnsi="Public Sans Light" w:cs="Times New Roman"/>
          <w:i/>
          <w:iCs/>
          <w:sz w:val="24"/>
          <w:szCs w:val="24"/>
          <w:lang w:eastAsia="en-AU"/>
        </w:rPr>
        <w:t>Seclusion and Restraint in NSW Health Settings</w:t>
      </w:r>
      <w:r w:rsidRPr="001E5075">
        <w:rPr>
          <w:rFonts w:ascii="Public Sans Light" w:eastAsia="Times New Roman" w:hAnsi="Public Sans Light" w:cs="Times New Roman"/>
          <w:sz w:val="24"/>
          <w:szCs w:val="24"/>
          <w:lang w:eastAsia="en-AU"/>
        </w:rPr>
        <w:t xml:space="preserve"> applies to all NSW Health staff working in health settings, including mental health settings. It is critical to clarify whether the new legislative framework will override, complement, or operate alongside this directive. Specific details on when and where the framework will apply in acute healthcare settings need to be explicitly stated and discussed with acute health stakeholders.</w:t>
      </w:r>
    </w:p>
    <w:p w14:paraId="354FB771" w14:textId="77777777" w:rsidR="001E5075" w:rsidRPr="001E5075" w:rsidRDefault="00AA207F" w:rsidP="001E5075">
      <w:pPr>
        <w:rPr>
          <w:rFonts w:ascii="Public Sans Light" w:eastAsia="Times New Roman" w:hAnsi="Public Sans Light" w:cs="Times New Roman"/>
          <w:sz w:val="24"/>
          <w:szCs w:val="24"/>
          <w:lang w:eastAsia="en-AU"/>
        </w:rPr>
      </w:pPr>
      <w:r>
        <w:rPr>
          <w:rFonts w:ascii="Public Sans Light" w:eastAsia="Times New Roman" w:hAnsi="Public Sans Light" w:cs="Times New Roman"/>
          <w:sz w:val="24"/>
          <w:szCs w:val="24"/>
          <w:lang w:eastAsia="en-AU"/>
        </w:rPr>
        <w:pict w14:anchorId="2FCA7E64">
          <v:rect id="_x0000_i1026" style="width:0;height:1.5pt" o:hralign="center" o:hrstd="t" o:hr="t" fillcolor="#a0a0a0" stroked="f"/>
        </w:pict>
      </w:r>
    </w:p>
    <w:p w14:paraId="4E3D4B88" w14:textId="77777777" w:rsidR="001E5075" w:rsidRPr="001E5075" w:rsidRDefault="001E5075" w:rsidP="001E5075">
      <w:pPr>
        <w:spacing w:before="100" w:beforeAutospacing="1" w:after="100" w:afterAutospacing="1"/>
        <w:outlineLvl w:val="3"/>
        <w:rPr>
          <w:rFonts w:ascii="Public Sans Light" w:eastAsia="Times New Roman" w:hAnsi="Public Sans Light" w:cs="Times New Roman"/>
          <w:b/>
          <w:bCs/>
          <w:sz w:val="24"/>
          <w:szCs w:val="24"/>
          <w:lang w:eastAsia="en-AU"/>
        </w:rPr>
      </w:pPr>
      <w:r w:rsidRPr="001E5075">
        <w:rPr>
          <w:rFonts w:ascii="Public Sans Light" w:eastAsia="Times New Roman" w:hAnsi="Public Sans Light" w:cs="Times New Roman"/>
          <w:b/>
          <w:bCs/>
          <w:sz w:val="24"/>
          <w:szCs w:val="24"/>
          <w:lang w:eastAsia="en-AU"/>
        </w:rPr>
        <w:t>Specific Feedback and Questions:</w:t>
      </w:r>
    </w:p>
    <w:p w14:paraId="20878650" w14:textId="77777777" w:rsidR="001E5075" w:rsidRPr="001E5075" w:rsidRDefault="001E5075" w:rsidP="001E5075">
      <w:pPr>
        <w:spacing w:before="100" w:beforeAutospacing="1" w:after="100" w:afterAutospacing="1"/>
        <w:outlineLvl w:val="4"/>
        <w:rPr>
          <w:rFonts w:ascii="Public Sans Light" w:eastAsia="Times New Roman" w:hAnsi="Public Sans Light" w:cs="Times New Roman"/>
          <w:b/>
          <w:bCs/>
          <w:sz w:val="20"/>
          <w:szCs w:val="20"/>
          <w:lang w:eastAsia="en-AU"/>
        </w:rPr>
      </w:pPr>
      <w:r w:rsidRPr="001E5075">
        <w:rPr>
          <w:rFonts w:ascii="Public Sans Light" w:eastAsia="Times New Roman" w:hAnsi="Public Sans Light" w:cs="Times New Roman"/>
          <w:b/>
          <w:bCs/>
          <w:sz w:val="20"/>
          <w:szCs w:val="20"/>
          <w:lang w:eastAsia="en-AU"/>
        </w:rPr>
        <w:t>Proposal 2: Annual Reporting to the Senior Practitioner</w:t>
      </w:r>
    </w:p>
    <w:p w14:paraId="0A385FBE" w14:textId="77777777" w:rsidR="001E5075" w:rsidRPr="001E5075" w:rsidRDefault="001E5075" w:rsidP="001E5075">
      <w:p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The framework proposes that government agencies in health, education, and justice settings provide annual compliance reports to the Senior Practitioner.</w:t>
      </w:r>
    </w:p>
    <w:p w14:paraId="2FBDA3BD" w14:textId="77777777" w:rsidR="001E5075" w:rsidRPr="001E5075" w:rsidRDefault="001E5075" w:rsidP="001E5075">
      <w:pPr>
        <w:numPr>
          <w:ilvl w:val="0"/>
          <w:numId w:val="4"/>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Who would fulfill this role in acute healthcare?</w:t>
      </w:r>
    </w:p>
    <w:p w14:paraId="193F477B" w14:textId="77777777" w:rsidR="001E5075" w:rsidRPr="001E5075" w:rsidRDefault="001E5075" w:rsidP="001E5075">
      <w:pPr>
        <w:numPr>
          <w:ilvl w:val="1"/>
          <w:numId w:val="4"/>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What qualifications or experience would be required of the Senior Practitioner in acute care?</w:t>
      </w:r>
    </w:p>
    <w:p w14:paraId="2BA5E78B" w14:textId="77777777" w:rsidR="001E5075" w:rsidRPr="001E5075" w:rsidRDefault="001E5075" w:rsidP="001E5075">
      <w:pPr>
        <w:numPr>
          <w:ilvl w:val="1"/>
          <w:numId w:val="4"/>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How will this role be integrated into the clinical governance of acute settings?</w:t>
      </w:r>
    </w:p>
    <w:p w14:paraId="16B07945" w14:textId="77777777" w:rsidR="001E5075" w:rsidRPr="001E5075" w:rsidRDefault="001E5075" w:rsidP="001E5075">
      <w:pPr>
        <w:numPr>
          <w:ilvl w:val="0"/>
          <w:numId w:val="4"/>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Logistical Concerns:</w:t>
      </w:r>
    </w:p>
    <w:p w14:paraId="0B290145" w14:textId="77777777" w:rsidR="001E5075" w:rsidRPr="001E5075" w:rsidRDefault="001E5075" w:rsidP="001E5075">
      <w:pPr>
        <w:numPr>
          <w:ilvl w:val="1"/>
          <w:numId w:val="4"/>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Acute care operates 24/7, including overnight, weekends, and public holidays. How will this role be managed after hours to ensure consistent decision-making?</w:t>
      </w:r>
    </w:p>
    <w:p w14:paraId="3F226632" w14:textId="77777777" w:rsidR="001E5075" w:rsidRPr="001E5075" w:rsidRDefault="001E5075" w:rsidP="001E5075">
      <w:pPr>
        <w:numPr>
          <w:ilvl w:val="1"/>
          <w:numId w:val="4"/>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What funding and support will be allocated to train individuals for this specialized role in behaviour support and restrictive practices?</w:t>
      </w:r>
    </w:p>
    <w:p w14:paraId="25B7537F" w14:textId="77777777" w:rsidR="001E5075" w:rsidRPr="001E5075" w:rsidRDefault="00AA207F" w:rsidP="001E5075">
      <w:pPr>
        <w:rPr>
          <w:rFonts w:ascii="Public Sans Light" w:eastAsia="Times New Roman" w:hAnsi="Public Sans Light" w:cs="Times New Roman"/>
          <w:sz w:val="24"/>
          <w:szCs w:val="24"/>
          <w:lang w:eastAsia="en-AU"/>
        </w:rPr>
      </w:pPr>
      <w:r>
        <w:rPr>
          <w:rFonts w:ascii="Public Sans Light" w:eastAsia="Times New Roman" w:hAnsi="Public Sans Light" w:cs="Times New Roman"/>
          <w:sz w:val="24"/>
          <w:szCs w:val="24"/>
          <w:lang w:eastAsia="en-AU"/>
        </w:rPr>
        <w:pict w14:anchorId="065F847E">
          <v:rect id="_x0000_i1027" style="width:0;height:1.5pt" o:hralign="center" o:hrstd="t" o:hr="t" fillcolor="#a0a0a0" stroked="f"/>
        </w:pict>
      </w:r>
    </w:p>
    <w:p w14:paraId="050B05FC" w14:textId="77777777" w:rsidR="001E5075" w:rsidRPr="001E5075" w:rsidRDefault="001E5075" w:rsidP="001E5075">
      <w:pPr>
        <w:spacing w:before="100" w:beforeAutospacing="1" w:after="100" w:afterAutospacing="1"/>
        <w:outlineLvl w:val="4"/>
        <w:rPr>
          <w:rFonts w:ascii="Public Sans Light" w:eastAsia="Times New Roman" w:hAnsi="Public Sans Light" w:cs="Times New Roman"/>
          <w:b/>
          <w:bCs/>
          <w:sz w:val="20"/>
          <w:szCs w:val="20"/>
          <w:lang w:eastAsia="en-AU"/>
        </w:rPr>
      </w:pPr>
      <w:r w:rsidRPr="001E5075">
        <w:rPr>
          <w:rFonts w:ascii="Public Sans Light" w:eastAsia="Times New Roman" w:hAnsi="Public Sans Light" w:cs="Times New Roman"/>
          <w:b/>
          <w:bCs/>
          <w:sz w:val="20"/>
          <w:szCs w:val="20"/>
          <w:lang w:eastAsia="en-AU"/>
        </w:rPr>
        <w:t>Authorizing Restrictive Practices:</w:t>
      </w:r>
    </w:p>
    <w:p w14:paraId="12F135AB" w14:textId="77777777" w:rsidR="001E5075" w:rsidRPr="001E5075" w:rsidRDefault="001E5075" w:rsidP="001E5075">
      <w:p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The framework requires that restrictive practices be authorized by a Senior Practitioner (or delegate) and included in a Behaviour Support Plan (BSP). This contrasts with the current consent-based model used in acute inpatient settings.</w:t>
      </w:r>
    </w:p>
    <w:p w14:paraId="4AA49F89" w14:textId="77777777" w:rsidR="001E5075" w:rsidRPr="001E5075" w:rsidRDefault="001E5075" w:rsidP="001E5075">
      <w:pPr>
        <w:numPr>
          <w:ilvl w:val="0"/>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lastRenderedPageBreak/>
        <w:t>Alignment with Existing Models:</w:t>
      </w:r>
    </w:p>
    <w:p w14:paraId="28893060" w14:textId="77777777" w:rsidR="001E5075" w:rsidRPr="001E5075" w:rsidRDefault="001E5075" w:rsidP="001E5075">
      <w:pPr>
        <w:numPr>
          <w:ilvl w:val="1"/>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How will the framework address the contrast between authorization models (BSP-driven versus consent-based)?</w:t>
      </w:r>
    </w:p>
    <w:p w14:paraId="3211920A" w14:textId="77777777" w:rsidR="001E5075" w:rsidRPr="001E5075" w:rsidRDefault="001E5075" w:rsidP="001E5075">
      <w:pPr>
        <w:numPr>
          <w:ilvl w:val="1"/>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What accommodations will be made for urgent or emergent scenarios where a BSP is not readily available, such as:</w:t>
      </w:r>
    </w:p>
    <w:p w14:paraId="671C6831" w14:textId="77777777" w:rsidR="001E5075" w:rsidRPr="001E5075" w:rsidRDefault="001E5075" w:rsidP="001E5075">
      <w:pPr>
        <w:numPr>
          <w:ilvl w:val="2"/>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Sudden changes in a patient’s cognitive condition?</w:t>
      </w:r>
    </w:p>
    <w:p w14:paraId="47D6027B" w14:textId="77777777" w:rsidR="001E5075" w:rsidRPr="001E5075" w:rsidRDefault="001E5075" w:rsidP="001E5075">
      <w:pPr>
        <w:numPr>
          <w:ilvl w:val="2"/>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Acute presentations where the patient has no prior history of challenging behaviours or aggression?</w:t>
      </w:r>
    </w:p>
    <w:p w14:paraId="782A0AFD" w14:textId="77777777" w:rsidR="001E5075" w:rsidRPr="001E5075" w:rsidRDefault="001E5075" w:rsidP="001E5075">
      <w:pPr>
        <w:numPr>
          <w:ilvl w:val="0"/>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Acute Scenarios and BSP Implementation:</w:t>
      </w:r>
    </w:p>
    <w:p w14:paraId="7FF471BC" w14:textId="77777777" w:rsidR="001E5075" w:rsidRPr="001E5075" w:rsidRDefault="001E5075" w:rsidP="001E5075">
      <w:pPr>
        <w:numPr>
          <w:ilvl w:val="1"/>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Many patients in the community do not exhibit challenging behaviours in their usual environments. In acute settings, pain, unfamiliarity, or fear may trigger behaviours. Without immediate access to behaviour consultants, what guidelines will apply?</w:t>
      </w:r>
    </w:p>
    <w:p w14:paraId="5FBC33CE" w14:textId="77777777" w:rsidR="001E5075" w:rsidRPr="001E5075" w:rsidRDefault="001E5075" w:rsidP="001E5075">
      <w:pPr>
        <w:numPr>
          <w:ilvl w:val="1"/>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Given the detailed nature of BSPs, how will these be adapted for acute care settings where clinical decisions must be made rapidly?</w:t>
      </w:r>
    </w:p>
    <w:p w14:paraId="521C3F13" w14:textId="77777777" w:rsidR="001E5075" w:rsidRPr="001E5075" w:rsidRDefault="001E5075" w:rsidP="001E5075">
      <w:pPr>
        <w:numPr>
          <w:ilvl w:val="0"/>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Emergency Situations:</w:t>
      </w:r>
    </w:p>
    <w:p w14:paraId="20ACA28E" w14:textId="77777777" w:rsidR="001E5075" w:rsidRPr="001E5075" w:rsidRDefault="001E5075" w:rsidP="001E5075">
      <w:pPr>
        <w:numPr>
          <w:ilvl w:val="1"/>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What specific rules or exemptions will apply during emergencies, such as:</w:t>
      </w:r>
    </w:p>
    <w:p w14:paraId="19E4F595" w14:textId="77777777" w:rsidR="001E5075" w:rsidRPr="001E5075" w:rsidRDefault="001E5075" w:rsidP="001E5075">
      <w:pPr>
        <w:numPr>
          <w:ilvl w:val="2"/>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A sudden deterioration in cognitive function or a mental health crisis?</w:t>
      </w:r>
    </w:p>
    <w:p w14:paraId="7FAE205A" w14:textId="77777777" w:rsidR="001E5075" w:rsidRPr="001E5075" w:rsidRDefault="001E5075" w:rsidP="001E5075">
      <w:pPr>
        <w:numPr>
          <w:ilvl w:val="2"/>
          <w:numId w:val="5"/>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Acute patient assessments where agitation may hinder care?</w:t>
      </w:r>
    </w:p>
    <w:p w14:paraId="561C2AFC" w14:textId="77777777" w:rsidR="001E5075" w:rsidRPr="001E5075" w:rsidRDefault="00AA207F" w:rsidP="001E5075">
      <w:pPr>
        <w:rPr>
          <w:rFonts w:ascii="Public Sans Light" w:eastAsia="Times New Roman" w:hAnsi="Public Sans Light" w:cs="Times New Roman"/>
          <w:sz w:val="24"/>
          <w:szCs w:val="24"/>
          <w:lang w:eastAsia="en-AU"/>
        </w:rPr>
      </w:pPr>
      <w:r>
        <w:rPr>
          <w:rFonts w:ascii="Public Sans Light" w:eastAsia="Times New Roman" w:hAnsi="Public Sans Light" w:cs="Times New Roman"/>
          <w:sz w:val="24"/>
          <w:szCs w:val="24"/>
          <w:lang w:eastAsia="en-AU"/>
        </w:rPr>
        <w:pict w14:anchorId="196A982A">
          <v:rect id="_x0000_i1028" style="width:0;height:1.5pt" o:hralign="center" o:hrstd="t" o:hr="t" fillcolor="#a0a0a0" stroked="f"/>
        </w:pict>
      </w:r>
    </w:p>
    <w:p w14:paraId="11A9DCFE" w14:textId="77777777" w:rsidR="001E5075" w:rsidRPr="001E5075" w:rsidRDefault="001E5075" w:rsidP="001E5075">
      <w:pPr>
        <w:spacing w:before="100" w:beforeAutospacing="1" w:after="100" w:afterAutospacing="1"/>
        <w:outlineLvl w:val="4"/>
        <w:rPr>
          <w:rFonts w:ascii="Public Sans Light" w:eastAsia="Times New Roman" w:hAnsi="Public Sans Light" w:cs="Times New Roman"/>
          <w:b/>
          <w:bCs/>
          <w:sz w:val="20"/>
          <w:szCs w:val="20"/>
          <w:lang w:eastAsia="en-AU"/>
        </w:rPr>
      </w:pPr>
      <w:r w:rsidRPr="001E5075">
        <w:rPr>
          <w:rFonts w:ascii="Public Sans Light" w:eastAsia="Times New Roman" w:hAnsi="Public Sans Light" w:cs="Times New Roman"/>
          <w:b/>
          <w:bCs/>
          <w:sz w:val="20"/>
          <w:szCs w:val="20"/>
          <w:lang w:eastAsia="en-AU"/>
        </w:rPr>
        <w:t>Prohibited Practices and Training Needs:</w:t>
      </w:r>
    </w:p>
    <w:p w14:paraId="3C8FAEC7" w14:textId="77777777" w:rsidR="001E5075" w:rsidRPr="001E5075" w:rsidRDefault="001E5075" w:rsidP="001E5075">
      <w:p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The framework identifies several prohibited practices. While these align with principles of safety and dignity, clarity is needed for exceptional circumstances that arise in acute care:</w:t>
      </w:r>
    </w:p>
    <w:p w14:paraId="6F30CC1A" w14:textId="77777777" w:rsidR="001E5075" w:rsidRPr="001E5075" w:rsidRDefault="001E5075" w:rsidP="001E5075">
      <w:pPr>
        <w:numPr>
          <w:ilvl w:val="0"/>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Supine Restraint:</w:t>
      </w:r>
    </w:p>
    <w:p w14:paraId="3E12EA0C" w14:textId="77777777" w:rsidR="001E5075" w:rsidRPr="001E5075" w:rsidRDefault="001E5075" w:rsidP="001E5075">
      <w:pPr>
        <w:numPr>
          <w:ilvl w:val="1"/>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For cases like potential spinal injuries where the application of a hard collar is required, will exceptions be allowed to reduce the risk of further injury?</w:t>
      </w:r>
    </w:p>
    <w:p w14:paraId="76A997B6" w14:textId="77777777" w:rsidR="001E5075" w:rsidRPr="001E5075" w:rsidRDefault="001E5075" w:rsidP="001E5075">
      <w:pPr>
        <w:numPr>
          <w:ilvl w:val="0"/>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Pin Downs:</w:t>
      </w:r>
    </w:p>
    <w:p w14:paraId="632E1AA6" w14:textId="77777777" w:rsidR="001E5075" w:rsidRPr="001E5075" w:rsidRDefault="001E5075" w:rsidP="001E5075">
      <w:pPr>
        <w:numPr>
          <w:ilvl w:val="1"/>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In scenarios where patients are in an agitated state and require urgent assessment (e.g., potential head injury, drug intoxication, or mental health crisis), what guidelines will apply?</w:t>
      </w:r>
    </w:p>
    <w:p w14:paraId="7AC1441E" w14:textId="77777777" w:rsidR="001E5075" w:rsidRPr="001E5075" w:rsidRDefault="001E5075" w:rsidP="001E5075">
      <w:pPr>
        <w:numPr>
          <w:ilvl w:val="1"/>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If restrictive practices are limited for NDIS participants, how will acute clinicians address the need for equitable care during such situations?</w:t>
      </w:r>
    </w:p>
    <w:p w14:paraId="635F2FBA" w14:textId="77777777" w:rsidR="001E5075" w:rsidRPr="001E5075" w:rsidRDefault="001E5075" w:rsidP="001E5075">
      <w:pPr>
        <w:numPr>
          <w:ilvl w:val="0"/>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Takedown Techniques:</w:t>
      </w:r>
    </w:p>
    <w:p w14:paraId="55B6E416" w14:textId="77777777" w:rsidR="001E5075" w:rsidRPr="001E5075" w:rsidRDefault="001E5075" w:rsidP="001E5075">
      <w:pPr>
        <w:numPr>
          <w:ilvl w:val="1"/>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While takedowns should be used only as a last resort, clarity is needed on their permissibility during life-threatening situations in emergency departments. How will this be documented and reviewed to ensure compliance without compromising safety?</w:t>
      </w:r>
    </w:p>
    <w:p w14:paraId="645900F3" w14:textId="77777777" w:rsidR="001E5075" w:rsidRPr="001E5075" w:rsidRDefault="001E5075" w:rsidP="001E5075">
      <w:pPr>
        <w:numPr>
          <w:ilvl w:val="0"/>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Physical Restraint for Medical Procedures:</w:t>
      </w:r>
    </w:p>
    <w:p w14:paraId="458645C4" w14:textId="77777777" w:rsidR="001E5075" w:rsidRPr="001E5075" w:rsidRDefault="001E5075" w:rsidP="001E5075">
      <w:pPr>
        <w:numPr>
          <w:ilvl w:val="1"/>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Situations where physical restraint may inadvertently resemble prohibited practices include:</w:t>
      </w:r>
    </w:p>
    <w:p w14:paraId="4B2F41BA" w14:textId="77777777" w:rsidR="001E5075" w:rsidRPr="001E5075" w:rsidRDefault="001E5075" w:rsidP="001E5075">
      <w:pPr>
        <w:numPr>
          <w:ilvl w:val="2"/>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lastRenderedPageBreak/>
        <w:t>Holding a patient’s arm to obtain emergency bloodwork.</w:t>
      </w:r>
    </w:p>
    <w:p w14:paraId="6EF94805" w14:textId="77777777" w:rsidR="001E5075" w:rsidRPr="001E5075" w:rsidRDefault="001E5075" w:rsidP="001E5075">
      <w:pPr>
        <w:numPr>
          <w:ilvl w:val="2"/>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Extending a joint to apply a back slab after a fracture.</w:t>
      </w:r>
    </w:p>
    <w:p w14:paraId="6C4CE4A5" w14:textId="77777777" w:rsidR="001E5075" w:rsidRPr="001E5075" w:rsidRDefault="001E5075" w:rsidP="001E5075">
      <w:pPr>
        <w:numPr>
          <w:ilvl w:val="2"/>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Applying pressure to a bleeding chest wound.</w:t>
      </w:r>
    </w:p>
    <w:p w14:paraId="5CEC7F75" w14:textId="77777777" w:rsidR="001E5075" w:rsidRPr="001E5075" w:rsidRDefault="001E5075" w:rsidP="001E5075">
      <w:pPr>
        <w:numPr>
          <w:ilvl w:val="1"/>
          <w:numId w:val="6"/>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Will there be explicit allowances for such practices during life-saving or emergent interventions?</w:t>
      </w:r>
    </w:p>
    <w:p w14:paraId="77E28C88" w14:textId="77777777" w:rsidR="001E5075" w:rsidRPr="001E5075" w:rsidRDefault="00AA207F" w:rsidP="001E5075">
      <w:pPr>
        <w:rPr>
          <w:rFonts w:ascii="Public Sans Light" w:eastAsia="Times New Roman" w:hAnsi="Public Sans Light" w:cs="Times New Roman"/>
          <w:sz w:val="24"/>
          <w:szCs w:val="24"/>
          <w:lang w:eastAsia="en-AU"/>
        </w:rPr>
      </w:pPr>
      <w:r>
        <w:rPr>
          <w:rFonts w:ascii="Public Sans Light" w:eastAsia="Times New Roman" w:hAnsi="Public Sans Light" w:cs="Times New Roman"/>
          <w:sz w:val="24"/>
          <w:szCs w:val="24"/>
          <w:lang w:eastAsia="en-AU"/>
        </w:rPr>
        <w:pict w14:anchorId="295C3430">
          <v:rect id="_x0000_i1029" style="width:0;height:1.5pt" o:hralign="center" o:hrstd="t" o:hr="t" fillcolor="#a0a0a0" stroked="f"/>
        </w:pict>
      </w:r>
    </w:p>
    <w:p w14:paraId="4936463A" w14:textId="77777777" w:rsidR="001E5075" w:rsidRPr="001E5075" w:rsidRDefault="001E5075" w:rsidP="001E5075">
      <w:pPr>
        <w:spacing w:before="100" w:beforeAutospacing="1" w:after="100" w:afterAutospacing="1"/>
        <w:outlineLvl w:val="3"/>
        <w:rPr>
          <w:rFonts w:ascii="Public Sans Light" w:eastAsia="Times New Roman" w:hAnsi="Public Sans Light" w:cs="Times New Roman"/>
          <w:b/>
          <w:bCs/>
          <w:sz w:val="24"/>
          <w:szCs w:val="24"/>
          <w:lang w:eastAsia="en-AU"/>
        </w:rPr>
      </w:pPr>
      <w:r w:rsidRPr="001E5075">
        <w:rPr>
          <w:rFonts w:ascii="Public Sans Light" w:eastAsia="Times New Roman" w:hAnsi="Public Sans Light" w:cs="Times New Roman"/>
          <w:b/>
          <w:bCs/>
          <w:sz w:val="24"/>
          <w:szCs w:val="24"/>
          <w:lang w:eastAsia="en-AU"/>
        </w:rPr>
        <w:t>Summary of Key Needs:</w:t>
      </w:r>
    </w:p>
    <w:p w14:paraId="4230EC9F" w14:textId="77777777" w:rsidR="001E5075" w:rsidRPr="001E5075" w:rsidRDefault="001E5075" w:rsidP="001E5075">
      <w:pPr>
        <w:numPr>
          <w:ilvl w:val="0"/>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Clear Guidelines:</w:t>
      </w:r>
    </w:p>
    <w:p w14:paraId="69F26986" w14:textId="77777777" w:rsidR="001E5075" w:rsidRPr="001E5075" w:rsidRDefault="001E5075" w:rsidP="001E5075">
      <w:pPr>
        <w:numPr>
          <w:ilvl w:val="1"/>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Explicitly define how the legislative framework will interface with existing NSW Health policies.</w:t>
      </w:r>
    </w:p>
    <w:p w14:paraId="13C72AC0" w14:textId="77777777" w:rsidR="001E5075" w:rsidRPr="001E5075" w:rsidRDefault="001E5075" w:rsidP="001E5075">
      <w:pPr>
        <w:numPr>
          <w:ilvl w:val="1"/>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Provide clear rules and exceptions for acute and emergency care settings.</w:t>
      </w:r>
    </w:p>
    <w:p w14:paraId="5ABFBEE5" w14:textId="77777777" w:rsidR="001E5075" w:rsidRPr="001E5075" w:rsidRDefault="001E5075" w:rsidP="001E5075">
      <w:pPr>
        <w:numPr>
          <w:ilvl w:val="0"/>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Support for Implementation:</w:t>
      </w:r>
    </w:p>
    <w:p w14:paraId="090B4B69" w14:textId="77777777" w:rsidR="001E5075" w:rsidRPr="001E5075" w:rsidRDefault="001E5075" w:rsidP="001E5075">
      <w:pPr>
        <w:numPr>
          <w:ilvl w:val="1"/>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Allocate funding for training acute care clinicians in behaviour support and restrictive practices.</w:t>
      </w:r>
    </w:p>
    <w:p w14:paraId="1158A40F" w14:textId="77777777" w:rsidR="001E5075" w:rsidRPr="001E5075" w:rsidRDefault="001E5075" w:rsidP="001E5075">
      <w:pPr>
        <w:numPr>
          <w:ilvl w:val="1"/>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Develop simplified and adaptable BSP templates for use in acute care.</w:t>
      </w:r>
    </w:p>
    <w:p w14:paraId="109A8DAC" w14:textId="77777777" w:rsidR="001E5075" w:rsidRPr="001E5075" w:rsidRDefault="001E5075" w:rsidP="001E5075">
      <w:pPr>
        <w:numPr>
          <w:ilvl w:val="0"/>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Provisions for Emergencies:</w:t>
      </w:r>
    </w:p>
    <w:p w14:paraId="1439B822" w14:textId="77777777" w:rsidR="001E5075" w:rsidRPr="001E5075" w:rsidRDefault="001E5075" w:rsidP="001E5075">
      <w:pPr>
        <w:numPr>
          <w:ilvl w:val="1"/>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Ensure the framework includes provisions for urgent, life-saving interventions that may conflict with restrictive practice guidelines.</w:t>
      </w:r>
    </w:p>
    <w:p w14:paraId="0559B01F" w14:textId="77777777" w:rsidR="001E5075" w:rsidRPr="001E5075" w:rsidRDefault="001E5075" w:rsidP="001E5075">
      <w:pPr>
        <w:numPr>
          <w:ilvl w:val="0"/>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b/>
          <w:bCs/>
          <w:sz w:val="24"/>
          <w:szCs w:val="24"/>
          <w:lang w:eastAsia="en-AU"/>
        </w:rPr>
        <w:t>Collaboration with Stakeholders:</w:t>
      </w:r>
    </w:p>
    <w:p w14:paraId="5CC6387A" w14:textId="77777777" w:rsidR="001E5075" w:rsidRPr="001E5075" w:rsidRDefault="001E5075" w:rsidP="001E5075">
      <w:pPr>
        <w:numPr>
          <w:ilvl w:val="1"/>
          <w:numId w:val="7"/>
        </w:num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Engage with acute healthcare professionals to ensure the framework is practical and effective without compromising patient safety.</w:t>
      </w:r>
    </w:p>
    <w:p w14:paraId="3B718865" w14:textId="77777777" w:rsidR="001E5075" w:rsidRPr="001E5075" w:rsidRDefault="00AA207F" w:rsidP="001E5075">
      <w:pPr>
        <w:rPr>
          <w:rFonts w:ascii="Public Sans Light" w:eastAsia="Times New Roman" w:hAnsi="Public Sans Light" w:cs="Times New Roman"/>
          <w:sz w:val="24"/>
          <w:szCs w:val="24"/>
          <w:lang w:eastAsia="en-AU"/>
        </w:rPr>
      </w:pPr>
      <w:r>
        <w:rPr>
          <w:rFonts w:ascii="Public Sans Light" w:eastAsia="Times New Roman" w:hAnsi="Public Sans Light" w:cs="Times New Roman"/>
          <w:sz w:val="24"/>
          <w:szCs w:val="24"/>
          <w:lang w:eastAsia="en-AU"/>
        </w:rPr>
        <w:pict w14:anchorId="514AE05D">
          <v:rect id="_x0000_i1030" style="width:0;height:1.5pt" o:hralign="center" o:hrstd="t" o:hr="t" fillcolor="#a0a0a0" stroked="f"/>
        </w:pict>
      </w:r>
    </w:p>
    <w:p w14:paraId="0D8A6FFF" w14:textId="77777777" w:rsidR="001E5075" w:rsidRPr="001E5075" w:rsidRDefault="001E5075" w:rsidP="001E5075">
      <w:pPr>
        <w:spacing w:before="100" w:beforeAutospacing="1" w:after="100" w:afterAutospacing="1"/>
        <w:rPr>
          <w:rFonts w:ascii="Public Sans Light" w:eastAsia="Times New Roman" w:hAnsi="Public Sans Light" w:cs="Times New Roman"/>
          <w:sz w:val="24"/>
          <w:szCs w:val="24"/>
          <w:lang w:eastAsia="en-AU"/>
        </w:rPr>
      </w:pPr>
      <w:r w:rsidRPr="001E5075">
        <w:rPr>
          <w:rFonts w:ascii="Public Sans Light" w:eastAsia="Times New Roman" w:hAnsi="Public Sans Light" w:cs="Times New Roman"/>
          <w:sz w:val="24"/>
          <w:szCs w:val="24"/>
          <w:lang w:eastAsia="en-AU"/>
        </w:rPr>
        <w:t>Thank you for considering this feedback. I look forward to further discussion and clarification to ensure that the framework supports safe and equitable care for all patients, including those with complex needs in acute settings</w:t>
      </w:r>
    </w:p>
    <w:p w14:paraId="6D8EC228" w14:textId="55EE267B" w:rsidR="00BE1BAE" w:rsidRPr="001E5075" w:rsidRDefault="00147B7B">
      <w:pPr>
        <w:rPr>
          <w:rFonts w:ascii="Public Sans Light" w:hAnsi="Public Sans Light"/>
        </w:rPr>
      </w:pPr>
      <w:r w:rsidRPr="001E5075">
        <w:rPr>
          <w:rFonts w:ascii="Public Sans Light" w:hAnsi="Public Sans Light"/>
        </w:rPr>
        <w:t>.</w:t>
      </w:r>
    </w:p>
    <w:sectPr w:rsidR="00BE1BAE" w:rsidRPr="001E50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81035"/>
    <w:multiLevelType w:val="multilevel"/>
    <w:tmpl w:val="DDB02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103C5"/>
    <w:multiLevelType w:val="multilevel"/>
    <w:tmpl w:val="BA26B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526D0"/>
    <w:multiLevelType w:val="multilevel"/>
    <w:tmpl w:val="424267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C22A3A"/>
    <w:multiLevelType w:val="multilevel"/>
    <w:tmpl w:val="55563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0C11E5"/>
    <w:multiLevelType w:val="multilevel"/>
    <w:tmpl w:val="40A0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A466C0"/>
    <w:multiLevelType w:val="multilevel"/>
    <w:tmpl w:val="3AB46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F364A"/>
    <w:multiLevelType w:val="multilevel"/>
    <w:tmpl w:val="09B245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1476001">
    <w:abstractNumId w:val="5"/>
  </w:num>
  <w:num w:numId="2" w16cid:durableId="6180403">
    <w:abstractNumId w:val="3"/>
  </w:num>
  <w:num w:numId="3" w16cid:durableId="547574834">
    <w:abstractNumId w:val="4"/>
  </w:num>
  <w:num w:numId="4" w16cid:durableId="335813888">
    <w:abstractNumId w:val="0"/>
  </w:num>
  <w:num w:numId="5" w16cid:durableId="2051755949">
    <w:abstractNumId w:val="6"/>
  </w:num>
  <w:num w:numId="6" w16cid:durableId="623196485">
    <w:abstractNumId w:val="1"/>
  </w:num>
  <w:num w:numId="7" w16cid:durableId="1829132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DAB"/>
    <w:rsid w:val="00147B7B"/>
    <w:rsid w:val="00184DAB"/>
    <w:rsid w:val="001E5075"/>
    <w:rsid w:val="002D362A"/>
    <w:rsid w:val="00865CCD"/>
    <w:rsid w:val="00954D7F"/>
    <w:rsid w:val="009859CE"/>
    <w:rsid w:val="00AA207F"/>
    <w:rsid w:val="00B43A97"/>
    <w:rsid w:val="00BE1BAE"/>
    <w:rsid w:val="00C637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240DFA7"/>
  <w15:chartTrackingRefBased/>
  <w15:docId w15:val="{FDF30C68-D8E3-4ACE-BFAF-2FA85EAE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DAB"/>
    <w:pPr>
      <w:spacing w:after="0" w:line="240" w:lineRule="auto"/>
    </w:pPr>
    <w:rPr>
      <w:rFonts w:ascii="Calibri" w:hAnsi="Calibri" w:cs="Calibri"/>
    </w:rPr>
  </w:style>
  <w:style w:type="paragraph" w:styleId="Heading3">
    <w:name w:val="heading 3"/>
    <w:basedOn w:val="Normal"/>
    <w:link w:val="Heading3Char"/>
    <w:uiPriority w:val="9"/>
    <w:qFormat/>
    <w:rsid w:val="001E5075"/>
    <w:pPr>
      <w:spacing w:before="100" w:beforeAutospacing="1" w:after="100" w:afterAutospacing="1"/>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1E5075"/>
    <w:pPr>
      <w:spacing w:before="100" w:beforeAutospacing="1" w:after="100" w:afterAutospacing="1"/>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1E5075"/>
    <w:pPr>
      <w:spacing w:before="100" w:beforeAutospacing="1" w:after="100" w:afterAutospacing="1"/>
      <w:outlineLvl w:val="4"/>
    </w:pPr>
    <w:rPr>
      <w:rFonts w:ascii="Times New Roman" w:eastAsia="Times New Roman" w:hAnsi="Times New Roman" w:cs="Times New Roman"/>
      <w:b/>
      <w:bCs/>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4DAB"/>
    <w:rPr>
      <w:color w:val="0563C1"/>
      <w:u w:val="single"/>
    </w:rPr>
  </w:style>
  <w:style w:type="character" w:customStyle="1" w:styleId="Heading3Char">
    <w:name w:val="Heading 3 Char"/>
    <w:basedOn w:val="DefaultParagraphFont"/>
    <w:link w:val="Heading3"/>
    <w:uiPriority w:val="9"/>
    <w:rsid w:val="001E5075"/>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1E5075"/>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1E5075"/>
    <w:rPr>
      <w:rFonts w:ascii="Times New Roman" w:eastAsia="Times New Roman" w:hAnsi="Times New Roman" w:cs="Times New Roman"/>
      <w:b/>
      <w:bCs/>
      <w:sz w:val="20"/>
      <w:szCs w:val="20"/>
      <w:lang w:eastAsia="en-AU"/>
    </w:rPr>
  </w:style>
  <w:style w:type="paragraph" w:styleId="NormalWeb">
    <w:name w:val="Normal (Web)"/>
    <w:basedOn w:val="Normal"/>
    <w:uiPriority w:val="99"/>
    <w:semiHidden/>
    <w:unhideWhenUsed/>
    <w:rsid w:val="001E5075"/>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1E5075"/>
    <w:rPr>
      <w:b/>
      <w:bCs/>
    </w:rPr>
  </w:style>
  <w:style w:type="character" w:styleId="Emphasis">
    <w:name w:val="Emphasis"/>
    <w:basedOn w:val="DefaultParagraphFont"/>
    <w:uiPriority w:val="20"/>
    <w:qFormat/>
    <w:rsid w:val="001E50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27038">
      <w:bodyDiv w:val="1"/>
      <w:marLeft w:val="0"/>
      <w:marRight w:val="0"/>
      <w:marTop w:val="0"/>
      <w:marBottom w:val="0"/>
      <w:divBdr>
        <w:top w:val="none" w:sz="0" w:space="0" w:color="auto"/>
        <w:left w:val="none" w:sz="0" w:space="0" w:color="auto"/>
        <w:bottom w:val="none" w:sz="0" w:space="0" w:color="auto"/>
        <w:right w:val="none" w:sz="0" w:space="0" w:color="auto"/>
      </w:divBdr>
    </w:div>
    <w:div w:id="831724632">
      <w:bodyDiv w:val="1"/>
      <w:marLeft w:val="0"/>
      <w:marRight w:val="0"/>
      <w:marTop w:val="0"/>
      <w:marBottom w:val="0"/>
      <w:divBdr>
        <w:top w:val="none" w:sz="0" w:space="0" w:color="auto"/>
        <w:left w:val="none" w:sz="0" w:space="0" w:color="auto"/>
        <w:bottom w:val="none" w:sz="0" w:space="0" w:color="auto"/>
        <w:right w:val="none" w:sz="0" w:space="0" w:color="auto"/>
      </w:divBdr>
      <w:divsChild>
        <w:div w:id="1141113381">
          <w:marLeft w:val="0"/>
          <w:marRight w:val="0"/>
          <w:marTop w:val="0"/>
          <w:marBottom w:val="0"/>
          <w:divBdr>
            <w:top w:val="none" w:sz="0" w:space="0" w:color="auto"/>
            <w:left w:val="none" w:sz="0" w:space="0" w:color="auto"/>
            <w:bottom w:val="none" w:sz="0" w:space="0" w:color="auto"/>
            <w:right w:val="none" w:sz="0" w:space="0" w:color="auto"/>
          </w:divBdr>
        </w:div>
        <w:div w:id="1564754649">
          <w:marLeft w:val="0"/>
          <w:marRight w:val="0"/>
          <w:marTop w:val="0"/>
          <w:marBottom w:val="0"/>
          <w:divBdr>
            <w:top w:val="none" w:sz="0" w:space="0" w:color="auto"/>
            <w:left w:val="none" w:sz="0" w:space="0" w:color="auto"/>
            <w:bottom w:val="none" w:sz="0" w:space="0" w:color="auto"/>
            <w:right w:val="none" w:sz="0" w:space="0" w:color="auto"/>
          </w:divBdr>
        </w:div>
        <w:div w:id="1136921306">
          <w:marLeft w:val="0"/>
          <w:marRight w:val="0"/>
          <w:marTop w:val="0"/>
          <w:marBottom w:val="0"/>
          <w:divBdr>
            <w:top w:val="none" w:sz="0" w:space="0" w:color="auto"/>
            <w:left w:val="none" w:sz="0" w:space="0" w:color="auto"/>
            <w:bottom w:val="none" w:sz="0" w:space="0" w:color="auto"/>
            <w:right w:val="none" w:sz="0" w:space="0" w:color="auto"/>
          </w:divBdr>
        </w:div>
        <w:div w:id="1441024979">
          <w:marLeft w:val="0"/>
          <w:marRight w:val="0"/>
          <w:marTop w:val="0"/>
          <w:marBottom w:val="0"/>
          <w:divBdr>
            <w:top w:val="none" w:sz="0" w:space="0" w:color="auto"/>
            <w:left w:val="none" w:sz="0" w:space="0" w:color="auto"/>
            <w:bottom w:val="none" w:sz="0" w:space="0" w:color="auto"/>
            <w:right w:val="none" w:sz="0" w:space="0" w:color="auto"/>
          </w:divBdr>
        </w:div>
        <w:div w:id="1985231703">
          <w:marLeft w:val="0"/>
          <w:marRight w:val="0"/>
          <w:marTop w:val="0"/>
          <w:marBottom w:val="0"/>
          <w:divBdr>
            <w:top w:val="none" w:sz="0" w:space="0" w:color="auto"/>
            <w:left w:val="none" w:sz="0" w:space="0" w:color="auto"/>
            <w:bottom w:val="none" w:sz="0" w:space="0" w:color="auto"/>
            <w:right w:val="none" w:sz="0" w:space="0" w:color="auto"/>
          </w:divBdr>
        </w:div>
        <w:div w:id="1390033862">
          <w:marLeft w:val="0"/>
          <w:marRight w:val="0"/>
          <w:marTop w:val="0"/>
          <w:marBottom w:val="0"/>
          <w:divBdr>
            <w:top w:val="none" w:sz="0" w:space="0" w:color="auto"/>
            <w:left w:val="none" w:sz="0" w:space="0" w:color="auto"/>
            <w:bottom w:val="none" w:sz="0" w:space="0" w:color="auto"/>
            <w:right w:val="none" w:sz="0" w:space="0" w:color="auto"/>
          </w:divBdr>
        </w:div>
      </w:divsChild>
    </w:div>
    <w:div w:id="21404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810</Words>
  <Characters>4623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McRae (Northern NSW LHD)</dc:creator>
  <cp:keywords/>
  <dc:description/>
  <cp:lastModifiedBy>Ashley Lieu</cp:lastModifiedBy>
  <cp:revision>2</cp:revision>
  <cp:lastPrinted>2025-01-15T21:50:00Z</cp:lastPrinted>
  <dcterms:created xsi:type="dcterms:W3CDTF">2025-04-21T13:31:00Z</dcterms:created>
  <dcterms:modified xsi:type="dcterms:W3CDTF">2025-04-21T13:31:00Z</dcterms:modified>
</cp:coreProperties>
</file>