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294" w:tblpY="626"/>
        <w:tblW w:w="9743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43"/>
        <w:gridCol w:w="1885"/>
        <w:gridCol w:w="2553"/>
        <w:gridCol w:w="3262"/>
      </w:tblGrid>
      <w:tr w:rsidR="008E6DCF" w:rsidRPr="00A2170F" w14:paraId="28D5E655" w14:textId="77777777" w:rsidTr="00C200F2">
        <w:trPr>
          <w:trHeight w:val="211"/>
        </w:trPr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</w:tcPr>
          <w:p w14:paraId="6F4B9D4F" w14:textId="77777777" w:rsidR="008E6DC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NGO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42DEE359" w14:textId="77777777" w:rsidR="008E6DCF" w:rsidRPr="00A2170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TRIM REF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14:paraId="7BC4ACB6" w14:textId="77777777" w:rsidR="008E6DCF" w:rsidRPr="00A2170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DUE DATE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FFFFFF" w:themeColor="background1"/>
              <w:bottom w:val="dotted" w:sz="4" w:space="0" w:color="auto"/>
            </w:tcBorders>
            <w:shd w:val="clear" w:color="auto" w:fill="1F3864" w:themeFill="accent5" w:themeFillShade="80"/>
            <w:vAlign w:val="center"/>
          </w:tcPr>
          <w:p w14:paraId="4322CB16" w14:textId="77777777" w:rsidR="008E6DCF" w:rsidRPr="00A2170F" w:rsidRDefault="008E6DCF" w:rsidP="00C200F2">
            <w:pPr>
              <w:jc w:val="center"/>
              <w:rPr>
                <w:rFonts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TO CFDU/Person </w:t>
            </w:r>
          </w:p>
        </w:tc>
      </w:tr>
      <w:tr w:rsidR="008E6DCF" w:rsidRPr="00A2170F" w14:paraId="05307454" w14:textId="77777777" w:rsidTr="00C200F2">
        <w:trPr>
          <w:trHeight w:val="508"/>
        </w:trPr>
        <w:tc>
          <w:tcPr>
            <w:tcW w:w="20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0F20E77" w14:textId="77777777" w:rsidR="008E6DCF" w:rsidRPr="003414E6" w:rsidRDefault="008E6DCF" w:rsidP="00C200F2">
            <w:pPr>
              <w:jc w:val="center"/>
              <w:rPr>
                <w:rFonts w:ascii="Public Sans" w:hAnsi="Public Sans" w:cs="Arial"/>
                <w:color w:val="FF0000"/>
              </w:rPr>
            </w:pPr>
            <w:r w:rsidRPr="003414E6">
              <w:rPr>
                <w:rFonts w:ascii="Public Sans" w:hAnsi="Public Sans" w:cs="Arial"/>
                <w:color w:val="FF0000"/>
              </w:rPr>
              <w:t>Name</w:t>
            </w:r>
          </w:p>
        </w:tc>
        <w:tc>
          <w:tcPr>
            <w:tcW w:w="18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121BEED" w14:textId="77777777" w:rsidR="008E6DCF" w:rsidRPr="003414E6" w:rsidRDefault="008E6DCF" w:rsidP="00C200F2">
            <w:pPr>
              <w:jc w:val="center"/>
              <w:rPr>
                <w:rFonts w:ascii="Public Sans" w:hAnsi="Public Sans" w:cs="Arial"/>
              </w:rPr>
            </w:pPr>
            <w:bookmarkStart w:id="0" w:name="useTRIMExtIDThenRecNo"/>
            <w:bookmarkEnd w:id="0"/>
            <w:r w:rsidRPr="003414E6">
              <w:rPr>
                <w:rFonts w:ascii="Public Sans" w:hAnsi="Public Sans" w:cs="Arial"/>
                <w:color w:val="FF0000"/>
              </w:rPr>
              <w:t>DCJ to add</w:t>
            </w:r>
          </w:p>
        </w:tc>
        <w:tc>
          <w:tcPr>
            <w:tcW w:w="25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A65FD2" w14:textId="77777777" w:rsidR="008E6DCF" w:rsidRPr="003414E6" w:rsidRDefault="008E6DCF" w:rsidP="00C200F2">
            <w:pPr>
              <w:jc w:val="center"/>
              <w:rPr>
                <w:rFonts w:ascii="Public Sans" w:hAnsi="Public Sans" w:cs="Arial"/>
                <w:b/>
              </w:rPr>
            </w:pPr>
            <w:r w:rsidRPr="003414E6">
              <w:rPr>
                <w:rFonts w:ascii="Public Sans" w:hAnsi="Public Sans" w:cs="Arial"/>
                <w:color w:val="FF0000"/>
              </w:rPr>
              <w:t>XXXX</w:t>
            </w:r>
          </w:p>
        </w:tc>
        <w:tc>
          <w:tcPr>
            <w:tcW w:w="326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B6A6FA" w14:textId="5C802CDD" w:rsidR="008E6DCF" w:rsidRPr="003414E6" w:rsidRDefault="008E6DCF" w:rsidP="00C200F2">
            <w:pPr>
              <w:jc w:val="center"/>
              <w:rPr>
                <w:rFonts w:ascii="Public Sans" w:hAnsi="Public Sans" w:cs="Arial"/>
              </w:rPr>
            </w:pPr>
            <w:r w:rsidRPr="003414E6">
              <w:rPr>
                <w:rFonts w:ascii="Public Sans" w:hAnsi="Public Sans" w:cs="Arial"/>
                <w:color w:val="FF0000"/>
              </w:rPr>
              <w:t>Who to send info</w:t>
            </w:r>
            <w:r w:rsidR="004735E4">
              <w:rPr>
                <w:rFonts w:ascii="Public Sans" w:hAnsi="Public Sans" w:cs="Arial"/>
                <w:color w:val="FF0000"/>
              </w:rPr>
              <w:t>rmation</w:t>
            </w:r>
            <w:r w:rsidRPr="003414E6">
              <w:rPr>
                <w:rFonts w:ascii="Public Sans" w:hAnsi="Public Sans" w:cs="Arial"/>
                <w:color w:val="FF0000"/>
              </w:rPr>
              <w:t xml:space="preserve"> to including contact details</w:t>
            </w:r>
          </w:p>
        </w:tc>
      </w:tr>
    </w:tbl>
    <w:p w14:paraId="62220104" w14:textId="77777777" w:rsidR="00C200F2" w:rsidRPr="003E4577" w:rsidRDefault="00C200F2" w:rsidP="00EC647D">
      <w:pPr>
        <w:jc w:val="both"/>
        <w:rPr>
          <w:rFonts w:ascii="Public Sans" w:hAnsi="Public Sans"/>
          <w:color w:val="000000" w:themeColor="text1"/>
          <w:sz w:val="16"/>
          <w:szCs w:val="16"/>
        </w:rPr>
      </w:pPr>
    </w:p>
    <w:p w14:paraId="3E0E1C96" w14:textId="77777777" w:rsidR="003E4577" w:rsidRDefault="003E4577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</w:p>
    <w:p w14:paraId="19D33058" w14:textId="7CE6B3DE" w:rsidR="00EC647D" w:rsidRPr="003414E6" w:rsidRDefault="00EC647D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>Financial approval for forward costs for an Individual Placement Arrangement (IPA)</w:t>
      </w:r>
      <w:r w:rsidR="0066473D">
        <w:rPr>
          <w:rFonts w:ascii="Public Sans" w:hAnsi="Public Sans"/>
          <w:color w:val="000000" w:themeColor="text1"/>
        </w:rPr>
        <w:t xml:space="preserve"> </w:t>
      </w:r>
      <w:r w:rsidRPr="003414E6">
        <w:rPr>
          <w:rFonts w:ascii="Public Sans" w:hAnsi="Public Sans"/>
          <w:color w:val="000000" w:themeColor="text1"/>
        </w:rPr>
        <w:t xml:space="preserve">is required through the completion of a Briefing Note (BN). </w:t>
      </w:r>
    </w:p>
    <w:p w14:paraId="55F25A56" w14:textId="1BF0F9CB" w:rsidR="00EC647D" w:rsidRPr="003414E6" w:rsidRDefault="00EC647D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Child and Family District Units (CFDUs) require specific information in order to seek financial approval </w:t>
      </w:r>
      <w:r w:rsidR="00244839">
        <w:rPr>
          <w:rFonts w:ascii="Public Sans" w:hAnsi="Public Sans"/>
          <w:color w:val="000000" w:themeColor="text1"/>
        </w:rPr>
        <w:t>of</w:t>
      </w:r>
      <w:r w:rsidRPr="003414E6">
        <w:rPr>
          <w:rFonts w:ascii="Public Sans" w:hAnsi="Public Sans"/>
          <w:color w:val="000000" w:themeColor="text1"/>
        </w:rPr>
        <w:t xml:space="preserve"> the:</w:t>
      </w:r>
    </w:p>
    <w:p w14:paraId="4D808230" w14:textId="0B7DE481" w:rsidR="00EC647D" w:rsidRPr="003E4577" w:rsidRDefault="0066473D" w:rsidP="003E457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Public Sans" w:hAnsi="Public Sans"/>
          <w:color w:val="000000" w:themeColor="text1"/>
          <w:szCs w:val="20"/>
        </w:rPr>
      </w:pPr>
      <w:r>
        <w:rPr>
          <w:rFonts w:ascii="Public Sans" w:hAnsi="Public Sans"/>
          <w:color w:val="000000" w:themeColor="text1"/>
          <w:szCs w:val="20"/>
        </w:rPr>
        <w:t>HCEA Executive Lead</w:t>
      </w:r>
      <w:r w:rsidR="0062706D" w:rsidRPr="003E4577">
        <w:rPr>
          <w:rFonts w:ascii="Public Sans" w:hAnsi="Public Sans"/>
          <w:color w:val="000000" w:themeColor="text1"/>
          <w:szCs w:val="20"/>
        </w:rPr>
        <w:t xml:space="preserve"> </w:t>
      </w:r>
      <w:r w:rsidR="00EC647D" w:rsidRPr="003E4577">
        <w:rPr>
          <w:rFonts w:ascii="Public Sans" w:hAnsi="Public Sans"/>
          <w:color w:val="000000" w:themeColor="text1"/>
          <w:szCs w:val="20"/>
        </w:rPr>
        <w:t>for forward costs up to $249,999.99 (inclusive of GST)</w:t>
      </w:r>
    </w:p>
    <w:p w14:paraId="560F4952" w14:textId="61A70580" w:rsidR="00EC647D" w:rsidRPr="003E4577" w:rsidRDefault="00EC647D" w:rsidP="003E457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Public Sans" w:hAnsi="Public Sans"/>
          <w:color w:val="000000" w:themeColor="text1"/>
          <w:szCs w:val="20"/>
        </w:rPr>
      </w:pPr>
      <w:r w:rsidRPr="003E4577">
        <w:rPr>
          <w:rFonts w:ascii="Public Sans" w:hAnsi="Public Sans"/>
          <w:color w:val="000000" w:themeColor="text1"/>
          <w:szCs w:val="20"/>
        </w:rPr>
        <w:t>Deputy Secretary for Child Protection</w:t>
      </w:r>
      <w:r w:rsidR="0066473D">
        <w:rPr>
          <w:rFonts w:ascii="Public Sans" w:hAnsi="Public Sans"/>
          <w:color w:val="000000" w:themeColor="text1"/>
          <w:szCs w:val="20"/>
        </w:rPr>
        <w:t xml:space="preserve"> and</w:t>
      </w:r>
      <w:r w:rsidRPr="003E4577">
        <w:rPr>
          <w:rFonts w:ascii="Public Sans" w:hAnsi="Public Sans"/>
          <w:color w:val="000000" w:themeColor="text1"/>
          <w:szCs w:val="20"/>
        </w:rPr>
        <w:t xml:space="preserve"> Permanency for forward costs of up to $499,999.99 (inclusive of GST)</w:t>
      </w:r>
    </w:p>
    <w:p w14:paraId="237CBF7C" w14:textId="140AEC8A" w:rsidR="00EC647D" w:rsidRPr="003E4577" w:rsidRDefault="00EC647D" w:rsidP="003E4577">
      <w:pPr>
        <w:pStyle w:val="ListParagraph"/>
        <w:numPr>
          <w:ilvl w:val="0"/>
          <w:numId w:val="11"/>
        </w:numPr>
        <w:spacing w:after="120" w:line="240" w:lineRule="auto"/>
        <w:contextualSpacing w:val="0"/>
        <w:rPr>
          <w:rFonts w:ascii="Public Sans" w:hAnsi="Public Sans"/>
          <w:color w:val="000000" w:themeColor="text1"/>
          <w:szCs w:val="20"/>
        </w:rPr>
      </w:pPr>
      <w:r w:rsidRPr="003E4577">
        <w:rPr>
          <w:rFonts w:ascii="Public Sans" w:hAnsi="Public Sans"/>
          <w:color w:val="000000" w:themeColor="text1"/>
          <w:szCs w:val="20"/>
        </w:rPr>
        <w:t>Secretary for forward costs of over $500,000 (inclusive of GST)</w:t>
      </w:r>
      <w:r w:rsidR="003E4577">
        <w:rPr>
          <w:rFonts w:ascii="Public Sans" w:hAnsi="Public Sans"/>
          <w:color w:val="000000" w:themeColor="text1"/>
          <w:szCs w:val="20"/>
        </w:rPr>
        <w:t>.</w:t>
      </w:r>
    </w:p>
    <w:p w14:paraId="478D81BA" w14:textId="77777777" w:rsidR="002803C8" w:rsidRDefault="00ED0784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Approval is required by the delegated officer on a cumulative basis from the commencement of </w:t>
      </w:r>
      <w:r w:rsidR="00F178D0">
        <w:rPr>
          <w:rFonts w:ascii="Public Sans" w:hAnsi="Public Sans"/>
          <w:color w:val="000000" w:themeColor="text1"/>
        </w:rPr>
        <w:t>the arrangement</w:t>
      </w:r>
      <w:r w:rsidRPr="003414E6">
        <w:rPr>
          <w:rFonts w:ascii="Public Sans" w:hAnsi="Public Sans"/>
          <w:color w:val="000000" w:themeColor="text1"/>
        </w:rPr>
        <w:t xml:space="preserve">. </w:t>
      </w:r>
    </w:p>
    <w:p w14:paraId="67A9E35A" w14:textId="007C62FC" w:rsidR="002803C8" w:rsidRDefault="00ED0784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The BN due date is allocated by </w:t>
      </w:r>
      <w:r w:rsidR="00C200F2">
        <w:rPr>
          <w:rFonts w:ascii="Public Sans" w:hAnsi="Public Sans"/>
          <w:color w:val="000000" w:themeColor="text1"/>
        </w:rPr>
        <w:t>DCJ</w:t>
      </w:r>
      <w:r w:rsidRPr="003414E6">
        <w:rPr>
          <w:rFonts w:ascii="Public Sans" w:hAnsi="Public Sans"/>
          <w:color w:val="000000" w:themeColor="text1"/>
        </w:rPr>
        <w:t xml:space="preserve"> for approval of the IPA based upon the proposed daily costs. </w:t>
      </w:r>
    </w:p>
    <w:p w14:paraId="61F8DC96" w14:textId="1AB688C6" w:rsidR="003414E6" w:rsidRPr="00505D27" w:rsidRDefault="00ED0784" w:rsidP="003E4577">
      <w:pPr>
        <w:spacing w:after="120" w:line="240" w:lineRule="auto"/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If the BN is submitted after this timeframe, financial delegations may have already been exceeded, </w:t>
      </w:r>
      <w:r w:rsidR="00C200F2">
        <w:rPr>
          <w:rFonts w:ascii="Public Sans" w:hAnsi="Public Sans"/>
          <w:color w:val="000000" w:themeColor="text1"/>
        </w:rPr>
        <w:t xml:space="preserve">and </w:t>
      </w:r>
      <w:r w:rsidR="00AE2DF7">
        <w:rPr>
          <w:rFonts w:ascii="Public Sans" w:hAnsi="Public Sans"/>
          <w:color w:val="000000" w:themeColor="text1"/>
        </w:rPr>
        <w:t>no further payments can be made until the BN is approved</w:t>
      </w:r>
      <w:r w:rsidRPr="003414E6">
        <w:rPr>
          <w:rFonts w:ascii="Public Sans" w:hAnsi="Public Sans"/>
          <w:color w:val="000000" w:themeColor="text1"/>
        </w:rPr>
        <w:t>.</w:t>
      </w:r>
    </w:p>
    <w:p w14:paraId="233358AF" w14:textId="3EEE1E6F" w:rsidR="005C01C1" w:rsidRDefault="002A1445" w:rsidP="002A1445">
      <w:pPr>
        <w:jc w:val="both"/>
        <w:rPr>
          <w:rFonts w:ascii="Public Sans" w:hAnsi="Public Sans"/>
          <w:b/>
          <w:color w:val="002060"/>
        </w:rPr>
      </w:pPr>
      <w:r w:rsidRPr="003414E6">
        <w:rPr>
          <w:rFonts w:ascii="Public Sans" w:hAnsi="Public Sans"/>
          <w:b/>
          <w:color w:val="002060"/>
        </w:rPr>
        <w:t xml:space="preserve">Below </w:t>
      </w:r>
      <w:r w:rsidR="005C01C1" w:rsidRPr="003414E6">
        <w:rPr>
          <w:rFonts w:ascii="Public Sans" w:hAnsi="Public Sans"/>
          <w:b/>
          <w:color w:val="002060"/>
        </w:rPr>
        <w:t xml:space="preserve">is a list of the sources of information CFDU staff / Managers will rely upon </w:t>
      </w:r>
      <w:r w:rsidRPr="003414E6">
        <w:rPr>
          <w:rFonts w:ascii="Public Sans" w:hAnsi="Public Sans"/>
          <w:b/>
          <w:color w:val="002060"/>
        </w:rPr>
        <w:t>to complete a BN for financial approval on b</w:t>
      </w:r>
      <w:r w:rsidR="005C01C1" w:rsidRPr="003414E6">
        <w:rPr>
          <w:rFonts w:ascii="Public Sans" w:hAnsi="Public Sans"/>
          <w:b/>
          <w:color w:val="002060"/>
        </w:rPr>
        <w:t xml:space="preserve">ehalf of a PSP Service Provider: </w:t>
      </w:r>
    </w:p>
    <w:p w14:paraId="03DE0486" w14:textId="77777777" w:rsidR="005C01C1" w:rsidRPr="003414E6" w:rsidRDefault="005C01C1" w:rsidP="002A1445">
      <w:pPr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If any of the below have </w:t>
      </w:r>
      <w:r w:rsidRPr="003414E6">
        <w:rPr>
          <w:rFonts w:ascii="Public Sans" w:hAnsi="Public Sans"/>
          <w:color w:val="000000" w:themeColor="text1"/>
          <w:u w:val="single"/>
        </w:rPr>
        <w:t>not been provided</w:t>
      </w:r>
      <w:r w:rsidRPr="003414E6">
        <w:rPr>
          <w:rFonts w:ascii="Public Sans" w:hAnsi="Public Sans"/>
          <w:color w:val="000000" w:themeColor="text1"/>
        </w:rPr>
        <w:t xml:space="preserve"> </w:t>
      </w:r>
      <w:r w:rsidRPr="003414E6">
        <w:rPr>
          <w:rFonts w:ascii="Public Sans" w:hAnsi="Public Sans"/>
          <w:color w:val="000000" w:themeColor="text1"/>
          <w:u w:val="single"/>
        </w:rPr>
        <w:t>recently</w:t>
      </w:r>
      <w:r w:rsidRPr="003414E6">
        <w:rPr>
          <w:rFonts w:ascii="Public Sans" w:hAnsi="Public Sans"/>
          <w:color w:val="000000" w:themeColor="text1"/>
        </w:rPr>
        <w:t xml:space="preserve"> to the CFDU, please forward: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8"/>
      </w:tblGrid>
      <w:tr w:rsidR="00C200F2" w14:paraId="6B3E9704" w14:textId="77777777" w:rsidTr="00BB6329">
        <w:tc>
          <w:tcPr>
            <w:tcW w:w="4678" w:type="dxa"/>
          </w:tcPr>
          <w:p w14:paraId="06BAE0A6" w14:textId="6117839A" w:rsidR="00C200F2" w:rsidRPr="00C200F2" w:rsidRDefault="00C200F2" w:rsidP="00C200F2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CIF</w:t>
            </w:r>
          </w:p>
        </w:tc>
        <w:tc>
          <w:tcPr>
            <w:tcW w:w="4338" w:type="dxa"/>
          </w:tcPr>
          <w:p w14:paraId="4A48F07C" w14:textId="404317C1" w:rsidR="00C200F2" w:rsidRPr="00C200F2" w:rsidRDefault="00C200F2" w:rsidP="00C200F2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ascii="Public Sans" w:hAnsi="Public Sans"/>
                <w:color w:val="000000" w:themeColor="text1"/>
                <w:szCs w:val="20"/>
              </w:rPr>
            </w:pPr>
            <w:r w:rsidRPr="00C200F2">
              <w:rPr>
                <w:rFonts w:ascii="Public Sans" w:hAnsi="Public Sans"/>
                <w:color w:val="000000" w:themeColor="text1"/>
                <w:szCs w:val="20"/>
              </w:rPr>
              <w:t>CAT</w:t>
            </w:r>
          </w:p>
        </w:tc>
      </w:tr>
      <w:tr w:rsidR="00C200F2" w14:paraId="1956A89E" w14:textId="77777777" w:rsidTr="00BB6329">
        <w:tc>
          <w:tcPr>
            <w:tcW w:w="4678" w:type="dxa"/>
          </w:tcPr>
          <w:p w14:paraId="5B3469B7" w14:textId="138EC0F2" w:rsidR="00C200F2" w:rsidRPr="00C200F2" w:rsidRDefault="00C200F2" w:rsidP="00C200F2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Entry Notification Form</w:t>
            </w:r>
          </w:p>
        </w:tc>
        <w:tc>
          <w:tcPr>
            <w:tcW w:w="4338" w:type="dxa"/>
          </w:tcPr>
          <w:p w14:paraId="04C875AA" w14:textId="07D57EEC" w:rsidR="00C200F2" w:rsidRPr="00C200F2" w:rsidRDefault="00C200F2" w:rsidP="00C200F2">
            <w:pPr>
              <w:pStyle w:val="ListParagraph"/>
              <w:numPr>
                <w:ilvl w:val="0"/>
                <w:numId w:val="11"/>
              </w:numPr>
              <w:spacing w:line="276" w:lineRule="auto"/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Fortnightly IPA updates</w:t>
            </w:r>
          </w:p>
        </w:tc>
      </w:tr>
    </w:tbl>
    <w:p w14:paraId="58C10A9D" w14:textId="77777777" w:rsidR="00C200F2" w:rsidRPr="00C200F2" w:rsidRDefault="00C200F2" w:rsidP="00C200F2">
      <w:pPr>
        <w:spacing w:after="0" w:line="240" w:lineRule="auto"/>
        <w:rPr>
          <w:rFonts w:ascii="Public Sans" w:hAnsi="Public Sans"/>
          <w:color w:val="000000" w:themeColor="text1"/>
          <w:szCs w:val="20"/>
        </w:rPr>
      </w:pPr>
    </w:p>
    <w:p w14:paraId="23B18798" w14:textId="2BEEC1C4" w:rsidR="005C01C1" w:rsidRDefault="005C01C1" w:rsidP="005C01C1">
      <w:pPr>
        <w:jc w:val="both"/>
        <w:rPr>
          <w:rFonts w:ascii="Public Sans" w:hAnsi="Public Sans"/>
          <w:color w:val="000000" w:themeColor="text1"/>
        </w:rPr>
      </w:pPr>
      <w:r w:rsidRPr="003414E6">
        <w:rPr>
          <w:rFonts w:ascii="Public Sans" w:hAnsi="Public Sans"/>
          <w:color w:val="000000" w:themeColor="text1"/>
        </w:rPr>
        <w:t xml:space="preserve">The below </w:t>
      </w:r>
      <w:r w:rsidRPr="003414E6">
        <w:rPr>
          <w:rFonts w:ascii="Public Sans" w:hAnsi="Public Sans"/>
          <w:color w:val="000000" w:themeColor="text1"/>
          <w:u w:val="single"/>
        </w:rPr>
        <w:t>must be provided</w:t>
      </w:r>
      <w:r w:rsidRPr="003414E6">
        <w:rPr>
          <w:rFonts w:ascii="Public Sans" w:hAnsi="Public Sans"/>
          <w:color w:val="000000" w:themeColor="text1"/>
        </w:rPr>
        <w:t xml:space="preserve"> </w:t>
      </w:r>
      <w:r w:rsidR="00AE2DF7">
        <w:rPr>
          <w:rFonts w:ascii="Public Sans" w:hAnsi="Public Sans"/>
          <w:color w:val="000000" w:themeColor="text1"/>
        </w:rPr>
        <w:t>(where relevant</w:t>
      </w:r>
      <w:r w:rsidR="00501195">
        <w:rPr>
          <w:rFonts w:ascii="Public Sans" w:hAnsi="Public Sans"/>
          <w:color w:val="000000" w:themeColor="text1"/>
        </w:rPr>
        <w:t xml:space="preserve"> and not recorded on ChildStory</w:t>
      </w:r>
      <w:r w:rsidR="00AE2DF7">
        <w:rPr>
          <w:rFonts w:ascii="Public Sans" w:hAnsi="Public Sans"/>
          <w:color w:val="000000" w:themeColor="text1"/>
        </w:rPr>
        <w:t>)</w:t>
      </w:r>
      <w:r w:rsidR="00F178D0">
        <w:rPr>
          <w:rFonts w:ascii="Public Sans" w:hAnsi="Public Sans"/>
          <w:color w:val="000000" w:themeColor="text1"/>
        </w:rPr>
        <w:t xml:space="preserve"> </w:t>
      </w:r>
      <w:r w:rsidRPr="003414E6">
        <w:rPr>
          <w:rFonts w:ascii="Public Sans" w:hAnsi="Public Sans"/>
          <w:color w:val="000000" w:themeColor="text1"/>
        </w:rPr>
        <w:t xml:space="preserve">to the CFDU: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BB6329" w14:paraId="572878FC" w14:textId="77777777" w:rsidTr="00BB632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C804879" w14:textId="58D2E4B0" w:rsidR="00BB6329" w:rsidRP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OOHC Case Plan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0068FFC2" w14:textId="6F02B39E" w:rsidR="00BB6329" w:rsidRPr="00BB6329" w:rsidRDefault="003E4577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>
              <w:rPr>
                <w:rFonts w:ascii="Public Sans" w:hAnsi="Public Sans"/>
                <w:color w:val="000000" w:themeColor="text1"/>
                <w:szCs w:val="20"/>
              </w:rPr>
              <w:t>Behaviour Support Plan (</w:t>
            </w:r>
            <w:r w:rsidR="00BB6329" w:rsidRPr="003414E6">
              <w:rPr>
                <w:rFonts w:ascii="Public Sans" w:hAnsi="Public Sans"/>
                <w:color w:val="000000" w:themeColor="text1"/>
                <w:szCs w:val="20"/>
              </w:rPr>
              <w:t>BSP</w:t>
            </w:r>
            <w:r>
              <w:rPr>
                <w:rFonts w:ascii="Public Sans" w:hAnsi="Public Sans"/>
                <w:color w:val="000000" w:themeColor="text1"/>
                <w:szCs w:val="20"/>
              </w:rPr>
              <w:t>)</w:t>
            </w:r>
          </w:p>
        </w:tc>
      </w:tr>
      <w:tr w:rsidR="00BB6329" w14:paraId="5104DAED" w14:textId="77777777" w:rsidTr="00BB6329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6B64EA3" w14:textId="5996F455" w:rsidR="00BB6329" w:rsidRP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NDIS Plan</w:t>
            </w:r>
            <w:r>
              <w:rPr>
                <w:rFonts w:ascii="Public Sans" w:hAnsi="Public Sans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4343" w:type="dxa"/>
            <w:tcBorders>
              <w:top w:val="nil"/>
              <w:left w:val="nil"/>
              <w:bottom w:val="nil"/>
              <w:right w:val="nil"/>
            </w:tcBorders>
          </w:tcPr>
          <w:p w14:paraId="5AF3AB70" w14:textId="7DEEDC14" w:rsidR="00BB6329" w:rsidRP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  <w:szCs w:val="20"/>
              </w:rPr>
            </w:pPr>
            <w:r w:rsidRPr="003414E6">
              <w:rPr>
                <w:rFonts w:ascii="Public Sans" w:hAnsi="Public Sans"/>
                <w:color w:val="000000" w:themeColor="text1"/>
                <w:szCs w:val="20"/>
              </w:rPr>
              <w:t>Cultural Plan</w:t>
            </w:r>
            <w:r>
              <w:rPr>
                <w:rFonts w:ascii="Public Sans" w:hAnsi="Public Sans"/>
                <w:color w:val="000000" w:themeColor="text1"/>
                <w:szCs w:val="20"/>
              </w:rPr>
              <w:t xml:space="preserve"> </w:t>
            </w:r>
          </w:p>
        </w:tc>
      </w:tr>
      <w:tr w:rsidR="00BB6329" w14:paraId="56C9AFF9" w14:textId="77777777" w:rsidTr="00BB6329"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863CF" w14:textId="1D920EA5" w:rsidR="00BB6329" w:rsidRDefault="00BB6329" w:rsidP="00BB6329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ascii="Public Sans" w:hAnsi="Public Sans"/>
                <w:color w:val="000000" w:themeColor="text1"/>
              </w:rPr>
            </w:pPr>
            <w:r>
              <w:rPr>
                <w:rFonts w:ascii="Public Sans" w:hAnsi="Public Sans"/>
                <w:color w:val="000000" w:themeColor="text1"/>
                <w:szCs w:val="20"/>
              </w:rPr>
              <w:t xml:space="preserve">Copy of </w:t>
            </w:r>
            <w:r w:rsidR="0089560D">
              <w:rPr>
                <w:rFonts w:ascii="Public Sans" w:hAnsi="Public Sans"/>
                <w:color w:val="000000" w:themeColor="text1"/>
                <w:szCs w:val="20"/>
              </w:rPr>
              <w:t xml:space="preserve">detailed and itemised </w:t>
            </w:r>
            <w:r>
              <w:rPr>
                <w:rFonts w:ascii="Public Sans" w:hAnsi="Public Sans"/>
                <w:color w:val="000000" w:themeColor="text1"/>
                <w:szCs w:val="20"/>
              </w:rPr>
              <w:t>quotes for IPA services</w:t>
            </w:r>
            <w:r w:rsidR="0089560D">
              <w:rPr>
                <w:rFonts w:ascii="Public Sans" w:hAnsi="Public Sans"/>
                <w:color w:val="000000" w:themeColor="text1"/>
                <w:szCs w:val="20"/>
              </w:rPr>
              <w:t>, including any subcontracting arrangements.</w:t>
            </w:r>
          </w:p>
        </w:tc>
      </w:tr>
    </w:tbl>
    <w:p w14:paraId="43F32311" w14:textId="77777777" w:rsidR="00BB6329" w:rsidRDefault="00BB6329" w:rsidP="00BB6329">
      <w:pPr>
        <w:spacing w:after="120"/>
        <w:jc w:val="both"/>
        <w:rPr>
          <w:rFonts w:ascii="Public Sans" w:hAnsi="Public Sans"/>
          <w:color w:val="000000" w:themeColor="text1"/>
        </w:rPr>
      </w:pPr>
    </w:p>
    <w:p w14:paraId="6E84ED0E" w14:textId="49DD2577" w:rsidR="005C01C1" w:rsidRPr="00505D27" w:rsidRDefault="003414E6" w:rsidP="00BB6329">
      <w:pPr>
        <w:spacing w:after="0"/>
        <w:jc w:val="both"/>
        <w:rPr>
          <w:rFonts w:ascii="Public Sans" w:hAnsi="Public Sans"/>
          <w:color w:val="000000" w:themeColor="text1"/>
        </w:rPr>
      </w:pPr>
      <w:r w:rsidRPr="00505D27">
        <w:rPr>
          <w:rFonts w:ascii="Public Sans" w:hAnsi="Public Sans"/>
          <w:color w:val="000000" w:themeColor="text1"/>
        </w:rPr>
        <w:t xml:space="preserve">In addition to the above, the following information, if applicable, must be provided to the CDFU: </w:t>
      </w:r>
    </w:p>
    <w:p w14:paraId="379EE1FB" w14:textId="5669BA95" w:rsidR="00F178D0" w:rsidRPr="00505D27" w:rsidRDefault="00F178D0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505D27">
        <w:rPr>
          <w:rFonts w:ascii="Public Sans" w:hAnsi="Public Sans"/>
        </w:rPr>
        <w:t>A short paragraph on how the child came to be in a</w:t>
      </w:r>
      <w:r w:rsidR="0066473D">
        <w:rPr>
          <w:rFonts w:ascii="Public Sans" w:hAnsi="Public Sans"/>
        </w:rPr>
        <w:t>n</w:t>
      </w:r>
      <w:r w:rsidRPr="00505D27">
        <w:rPr>
          <w:rFonts w:ascii="Public Sans" w:hAnsi="Public Sans"/>
        </w:rPr>
        <w:t xml:space="preserve"> IPA</w:t>
      </w:r>
    </w:p>
    <w:p w14:paraId="01CD74BC" w14:textId="389655D4" w:rsidR="00F178D0" w:rsidRPr="00505D27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A</w:t>
      </w:r>
      <w:r w:rsidR="00F178D0" w:rsidRPr="00505D27">
        <w:rPr>
          <w:rFonts w:ascii="Public Sans" w:hAnsi="Public Sans"/>
        </w:rPr>
        <w:t>ny relevant/recent previous placement history (i</w:t>
      </w:r>
      <w:r w:rsidR="00010160">
        <w:rPr>
          <w:rFonts w:ascii="Public Sans" w:hAnsi="Public Sans"/>
        </w:rPr>
        <w:t>.</w:t>
      </w:r>
      <w:r w:rsidR="00F178D0" w:rsidRPr="00505D27">
        <w:rPr>
          <w:rFonts w:ascii="Public Sans" w:hAnsi="Public Sans"/>
        </w:rPr>
        <w:t>e</w:t>
      </w:r>
      <w:r w:rsidR="00010160">
        <w:rPr>
          <w:rFonts w:ascii="Public Sans" w:hAnsi="Public Sans"/>
        </w:rPr>
        <w:t>.</w:t>
      </w:r>
      <w:r w:rsidR="00F178D0" w:rsidRPr="00505D27">
        <w:rPr>
          <w:rFonts w:ascii="Public Sans" w:hAnsi="Public Sans"/>
        </w:rPr>
        <w:t xml:space="preserve"> last 6-12 months), including the reasons for the breakdown and any efforts to support or maintain previous placements</w:t>
      </w:r>
    </w:p>
    <w:p w14:paraId="4203F709" w14:textId="22D00FC0" w:rsidR="00F178D0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A</w:t>
      </w:r>
      <w:r w:rsidR="00F178D0" w:rsidRPr="00505D27">
        <w:rPr>
          <w:rFonts w:ascii="Public Sans" w:hAnsi="Public Sans"/>
        </w:rPr>
        <w:t>ttempts to locate alternative placement types</w:t>
      </w:r>
    </w:p>
    <w:p w14:paraId="512E6680" w14:textId="27524C59" w:rsidR="00487FFD" w:rsidRPr="00505D27" w:rsidRDefault="00487FFD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Consultations with clinicians or Permanency Coordinators (if relevant)</w:t>
      </w:r>
    </w:p>
    <w:p w14:paraId="2D28EA97" w14:textId="7181D06C" w:rsidR="00F178D0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F</w:t>
      </w:r>
      <w:r w:rsidR="00F178D0" w:rsidRPr="00505D27">
        <w:rPr>
          <w:rFonts w:ascii="Public Sans" w:hAnsi="Public Sans"/>
        </w:rPr>
        <w:t xml:space="preserve">amily finding efforts and whether a family group conference is </w:t>
      </w:r>
      <w:r w:rsidR="007D6F06" w:rsidRPr="00505D27">
        <w:rPr>
          <w:rFonts w:ascii="Public Sans" w:hAnsi="Public Sans"/>
        </w:rPr>
        <w:t>proposed,</w:t>
      </w:r>
      <w:r w:rsidR="00F178D0" w:rsidRPr="00505D27">
        <w:rPr>
          <w:rFonts w:ascii="Public Sans" w:hAnsi="Public Sans"/>
        </w:rPr>
        <w:t xml:space="preserve"> and</w:t>
      </w:r>
      <w:r>
        <w:rPr>
          <w:rFonts w:ascii="Public Sans" w:hAnsi="Public Sans"/>
        </w:rPr>
        <w:t xml:space="preserve"> key dates and timeframes</w:t>
      </w:r>
    </w:p>
    <w:p w14:paraId="540708C2" w14:textId="66924088" w:rsidR="00074ECF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lastRenderedPageBreak/>
        <w:t>How the arrangement meets the child’s needs and provide value for money</w:t>
      </w:r>
    </w:p>
    <w:p w14:paraId="08A027EF" w14:textId="0CC982D5" w:rsidR="00074ECF" w:rsidRPr="00505D27" w:rsidRDefault="00074ECF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>
        <w:rPr>
          <w:rFonts w:ascii="Public Sans" w:hAnsi="Public Sans"/>
        </w:rPr>
        <w:t>Evidence of financial probity and ensu</w:t>
      </w:r>
      <w:r w:rsidR="00A11BF0">
        <w:rPr>
          <w:rFonts w:ascii="Public Sans" w:hAnsi="Public Sans"/>
        </w:rPr>
        <w:t>r</w:t>
      </w:r>
      <w:r>
        <w:rPr>
          <w:rFonts w:ascii="Public Sans" w:hAnsi="Public Sans"/>
        </w:rPr>
        <w:t>ing costs are reasonable and supported.</w:t>
      </w:r>
    </w:p>
    <w:p w14:paraId="5199E6E5" w14:textId="77777777" w:rsidR="00F178D0" w:rsidRPr="00505D27" w:rsidRDefault="00F178D0" w:rsidP="00F178D0">
      <w:pPr>
        <w:pStyle w:val="Heading2"/>
        <w:spacing w:before="120" w:line="240" w:lineRule="auto"/>
        <w:rPr>
          <w:rFonts w:ascii="Public Sans" w:hAnsi="Public Sans"/>
        </w:rPr>
      </w:pPr>
      <w:bookmarkStart w:id="1" w:name="_Hlk34788779"/>
      <w:r w:rsidRPr="00505D27">
        <w:rPr>
          <w:rFonts w:ascii="Public Sans" w:hAnsi="Public Sans"/>
        </w:rPr>
        <w:t>National Disability Insurance Scheme (NDIS)</w:t>
      </w:r>
    </w:p>
    <w:bookmarkEnd w:id="1"/>
    <w:p w14:paraId="04A1BD30" w14:textId="12489B6C" w:rsidR="00580CC9" w:rsidRDefault="00F178D0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505D27">
        <w:rPr>
          <w:rFonts w:ascii="Public Sans" w:hAnsi="Public Sans"/>
        </w:rPr>
        <w:t>Use this section to provide information on whether the child or young person is eligible for NDIS and/or has a NDIS plan</w:t>
      </w:r>
    </w:p>
    <w:p w14:paraId="7E539F42" w14:textId="067F43FF" w:rsidR="00154486" w:rsidRPr="00580CC9" w:rsidRDefault="00580CC9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580CC9">
        <w:rPr>
          <w:rFonts w:ascii="Public Sans" w:hAnsi="Public Sans"/>
        </w:rPr>
        <w:t>De</w:t>
      </w:r>
      <w:r w:rsidR="00F178D0" w:rsidRPr="00580CC9">
        <w:rPr>
          <w:rFonts w:ascii="Public Sans" w:hAnsi="Public Sans"/>
        </w:rPr>
        <w:t>tail</w:t>
      </w:r>
      <w:r w:rsidRPr="00580CC9">
        <w:rPr>
          <w:rFonts w:ascii="Public Sans" w:hAnsi="Public Sans"/>
        </w:rPr>
        <w:t xml:space="preserve"> </w:t>
      </w:r>
      <w:r w:rsidR="00F178D0" w:rsidRPr="00580CC9">
        <w:rPr>
          <w:rFonts w:ascii="Public Sans" w:hAnsi="Public Sans"/>
        </w:rPr>
        <w:t>how this plan is being utilised</w:t>
      </w:r>
      <w:r w:rsidRPr="00580CC9">
        <w:rPr>
          <w:rFonts w:ascii="Public Sans" w:hAnsi="Public Sans"/>
        </w:rPr>
        <w:t xml:space="preserve">, </w:t>
      </w:r>
      <w:r>
        <w:rPr>
          <w:rFonts w:ascii="Public Sans" w:hAnsi="Public Sans"/>
        </w:rPr>
        <w:t>i</w:t>
      </w:r>
      <w:r w:rsidR="00505D27" w:rsidRPr="00580CC9">
        <w:rPr>
          <w:rFonts w:ascii="Public Sans" w:hAnsi="Public Sans"/>
        </w:rPr>
        <w:t>nclud</w:t>
      </w:r>
      <w:r>
        <w:rPr>
          <w:rFonts w:ascii="Public Sans" w:hAnsi="Public Sans"/>
        </w:rPr>
        <w:t>ing</w:t>
      </w:r>
      <w:r w:rsidR="00505D27" w:rsidRPr="00580CC9">
        <w:rPr>
          <w:rFonts w:ascii="Public Sans" w:hAnsi="Public Sans"/>
        </w:rPr>
        <w:t xml:space="preserve"> financial details of </w:t>
      </w:r>
      <w:r>
        <w:rPr>
          <w:rFonts w:ascii="Public Sans" w:hAnsi="Public Sans"/>
        </w:rPr>
        <w:t>expenditure</w:t>
      </w:r>
      <w:r w:rsidR="00505D27" w:rsidRPr="00580CC9">
        <w:rPr>
          <w:rFonts w:ascii="Public Sans" w:hAnsi="Public Sans"/>
        </w:rPr>
        <w:t xml:space="preserve"> and future costs</w:t>
      </w:r>
      <w:r>
        <w:rPr>
          <w:rFonts w:ascii="Public Sans" w:hAnsi="Public Sans"/>
        </w:rPr>
        <w:t>,</w:t>
      </w:r>
      <w:r w:rsidR="00505D27" w:rsidRPr="00580CC9">
        <w:rPr>
          <w:rFonts w:ascii="Public Sans" w:hAnsi="Public Sans"/>
        </w:rPr>
        <w:t xml:space="preserve"> </w:t>
      </w:r>
      <w:r w:rsidR="00154486" w:rsidRPr="00580CC9">
        <w:rPr>
          <w:rFonts w:ascii="Public Sans" w:hAnsi="Public Sans"/>
        </w:rPr>
        <w:t xml:space="preserve">and </w:t>
      </w:r>
      <w:r>
        <w:rPr>
          <w:rFonts w:ascii="Public Sans" w:hAnsi="Public Sans"/>
        </w:rPr>
        <w:t xml:space="preserve">a </w:t>
      </w:r>
      <w:r w:rsidR="00154486" w:rsidRPr="00580CC9">
        <w:rPr>
          <w:rFonts w:ascii="Public Sans" w:hAnsi="Public Sans"/>
        </w:rPr>
        <w:t>rationale if underspent</w:t>
      </w:r>
    </w:p>
    <w:p w14:paraId="05E55CC8" w14:textId="40D31EDB" w:rsidR="00505D27" w:rsidRPr="00154486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154486">
        <w:rPr>
          <w:rFonts w:ascii="Public Sans" w:hAnsi="Public Sans"/>
        </w:rPr>
        <w:t>Is the NDIS funding appropriate for the child’s needs</w:t>
      </w:r>
      <w:r w:rsidR="00154486" w:rsidRPr="00154486">
        <w:rPr>
          <w:rFonts w:ascii="Public Sans" w:hAnsi="Public Sans"/>
        </w:rPr>
        <w:t>?</w:t>
      </w:r>
    </w:p>
    <w:p w14:paraId="69810065" w14:textId="2186C10E" w:rsidR="00505D27" w:rsidRPr="00912F92" w:rsidRDefault="00505D27" w:rsidP="00505D27">
      <w:pPr>
        <w:spacing w:before="120" w:after="0" w:line="240" w:lineRule="auto"/>
        <w:rPr>
          <w:rFonts w:ascii="Public Sans" w:hAnsi="Public Sans" w:cs="Arial"/>
          <w:b/>
          <w:bCs/>
          <w:color w:val="002060"/>
          <w:sz w:val="24"/>
          <w:szCs w:val="24"/>
        </w:rPr>
      </w:pPr>
      <w:r w:rsidRPr="00912F92">
        <w:rPr>
          <w:rFonts w:ascii="Public Sans" w:hAnsi="Public Sans" w:cs="Arial"/>
          <w:b/>
          <w:bCs/>
          <w:color w:val="002060"/>
          <w:sz w:val="24"/>
          <w:szCs w:val="24"/>
        </w:rPr>
        <w:t>Details of the arrangement</w:t>
      </w:r>
    </w:p>
    <w:p w14:paraId="780B1209" w14:textId="5BFEB507" w:rsidR="00505D27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IPA accommodation type and the service provider</w:t>
      </w:r>
    </w:p>
    <w:p w14:paraId="31E18350" w14:textId="1CA467EA" w:rsidR="00505D27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Any recent changes </w:t>
      </w:r>
      <w:r w:rsidR="00154486" w:rsidRPr="003E4577">
        <w:rPr>
          <w:rFonts w:ascii="Public Sans" w:hAnsi="Public Sans"/>
        </w:rPr>
        <w:t>to the accommodation,</w:t>
      </w:r>
      <w:r w:rsidRPr="003E4577">
        <w:rPr>
          <w:rFonts w:ascii="Public Sans" w:hAnsi="Public Sans"/>
        </w:rPr>
        <w:t xml:space="preserve"> service provider</w:t>
      </w:r>
      <w:r w:rsidR="00154486" w:rsidRPr="003E4577">
        <w:rPr>
          <w:rFonts w:ascii="Public Sans" w:hAnsi="Public Sans"/>
        </w:rPr>
        <w:t xml:space="preserve">, </w:t>
      </w:r>
      <w:r w:rsidRPr="003E4577">
        <w:rPr>
          <w:rFonts w:ascii="Public Sans" w:hAnsi="Public Sans"/>
        </w:rPr>
        <w:t>staffing ratios</w:t>
      </w:r>
      <w:r w:rsidR="00154486" w:rsidRPr="003E4577">
        <w:rPr>
          <w:rFonts w:ascii="Public Sans" w:hAnsi="Public Sans"/>
        </w:rPr>
        <w:t xml:space="preserve"> as </w:t>
      </w:r>
      <w:r w:rsidRPr="003E4577">
        <w:rPr>
          <w:rFonts w:ascii="Public Sans" w:hAnsi="Public Sans"/>
        </w:rPr>
        <w:t>daily figures may require recalculations</w:t>
      </w:r>
    </w:p>
    <w:p w14:paraId="59C800E2" w14:textId="5B60453B" w:rsidR="008F02A4" w:rsidRPr="003E4577" w:rsidRDefault="0015448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If the arrangement is 2:1 staffing, provide a strong rationale/reason and specific </w:t>
      </w:r>
      <w:r w:rsidR="00A35EC6" w:rsidRPr="003E4577">
        <w:rPr>
          <w:rFonts w:ascii="Public Sans" w:hAnsi="Public Sans"/>
        </w:rPr>
        <w:t>step-down</w:t>
      </w:r>
      <w:r w:rsidRPr="003E4577">
        <w:rPr>
          <w:rFonts w:ascii="Public Sans" w:hAnsi="Public Sans"/>
        </w:rPr>
        <w:t xml:space="preserve"> plan</w:t>
      </w:r>
      <w:r w:rsidR="008F02A4" w:rsidRPr="003E4577">
        <w:rPr>
          <w:rFonts w:ascii="Public Sans" w:hAnsi="Public Sans"/>
        </w:rPr>
        <w:t>,</w:t>
      </w:r>
      <w:r w:rsidRPr="003E4577">
        <w:rPr>
          <w:rFonts w:ascii="Public Sans" w:hAnsi="Public Sans"/>
        </w:rPr>
        <w:t xml:space="preserve"> and outline the monitoring in place. This includes overnight awake shifts</w:t>
      </w:r>
    </w:p>
    <w:p w14:paraId="196E6347" w14:textId="1C25A58D" w:rsidR="00154486" w:rsidRPr="003E4577" w:rsidRDefault="0015448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Psychological services and behaviour management strategies should be in place to support the Child or Young Person with a goal to reducing the need for 2:1 staffing</w:t>
      </w:r>
    </w:p>
    <w:p w14:paraId="6920DD80" w14:textId="1474F402" w:rsidR="00505D27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Progress in the arrangement</w:t>
      </w:r>
    </w:p>
    <w:p w14:paraId="7C871630" w14:textId="77777777" w:rsidR="003414E6" w:rsidRPr="003E4577" w:rsidRDefault="003414E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Any quality of care issues</w:t>
      </w:r>
    </w:p>
    <w:p w14:paraId="498D1D10" w14:textId="6B4CC326" w:rsidR="00912F92" w:rsidRPr="003E4577" w:rsidRDefault="003414E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Any changes to the child or young person’s </w:t>
      </w:r>
      <w:r w:rsidR="00912F92" w:rsidRPr="003E4577">
        <w:rPr>
          <w:rFonts w:ascii="Public Sans" w:hAnsi="Public Sans"/>
        </w:rPr>
        <w:t xml:space="preserve">school </w:t>
      </w:r>
      <w:r w:rsidRPr="003E4577">
        <w:rPr>
          <w:rFonts w:ascii="Public Sans" w:hAnsi="Public Sans"/>
        </w:rPr>
        <w:t>enrolment or attendance</w:t>
      </w:r>
      <w:r w:rsidR="00912F92" w:rsidRPr="003E4577">
        <w:rPr>
          <w:rFonts w:ascii="Public Sans" w:hAnsi="Public Sans"/>
        </w:rPr>
        <w:t>,</w:t>
      </w:r>
      <w:r w:rsidR="00CE4F2D" w:rsidRPr="003E4577">
        <w:rPr>
          <w:rFonts w:ascii="Public Sans" w:hAnsi="Public Sans"/>
        </w:rPr>
        <w:t xml:space="preserve"> </w:t>
      </w:r>
      <w:r w:rsidR="00912F92" w:rsidRPr="003E4577">
        <w:rPr>
          <w:rFonts w:ascii="Public Sans" w:hAnsi="Public Sans"/>
        </w:rPr>
        <w:t>i</w:t>
      </w:r>
      <w:r w:rsidR="00CE4F2D" w:rsidRPr="003E4577">
        <w:rPr>
          <w:rFonts w:ascii="Public Sans" w:hAnsi="Public Sans"/>
        </w:rPr>
        <w:t>nclud</w:t>
      </w:r>
      <w:r w:rsidR="00912F92" w:rsidRPr="003E4577">
        <w:rPr>
          <w:rFonts w:ascii="Public Sans" w:hAnsi="Public Sans"/>
        </w:rPr>
        <w:t>ing</w:t>
      </w:r>
      <w:r w:rsidR="00CE4F2D" w:rsidRPr="003E4577">
        <w:rPr>
          <w:rFonts w:ascii="Public Sans" w:hAnsi="Public Sans"/>
        </w:rPr>
        <w:t xml:space="preserve"> rationale for partial attendance</w:t>
      </w:r>
    </w:p>
    <w:p w14:paraId="656B230D" w14:textId="7AE77A18" w:rsidR="003414E6" w:rsidRPr="003E4577" w:rsidRDefault="00912F92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If the child or young person attends school</w:t>
      </w:r>
      <w:r w:rsidR="008F02A4" w:rsidRPr="003E4577">
        <w:rPr>
          <w:rFonts w:ascii="Public Sans" w:hAnsi="Public Sans"/>
        </w:rPr>
        <w:t>,</w:t>
      </w:r>
      <w:r w:rsidRPr="003E4577">
        <w:rPr>
          <w:rFonts w:ascii="Public Sans" w:hAnsi="Public Sans"/>
        </w:rPr>
        <w:t xml:space="preserve"> specify how these arrangements are taken into consideration with regards to staffing rosters</w:t>
      </w:r>
    </w:p>
    <w:p w14:paraId="5A2C8E0D" w14:textId="0747DDBA" w:rsidR="003414E6" w:rsidRPr="003E4577" w:rsidRDefault="003414E6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Family time arrangements including sibling contact </w:t>
      </w:r>
    </w:p>
    <w:p w14:paraId="6B11CC29" w14:textId="54250707" w:rsidR="00580CC9" w:rsidRPr="003E4577" w:rsidRDefault="00580CC9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 xml:space="preserve">General overview of health. </w:t>
      </w:r>
      <w:r w:rsidR="0066473D">
        <w:rPr>
          <w:rFonts w:ascii="Public Sans" w:hAnsi="Public Sans"/>
        </w:rPr>
        <w:t>i</w:t>
      </w:r>
      <w:r w:rsidRPr="003E4577">
        <w:rPr>
          <w:rFonts w:ascii="Public Sans" w:hAnsi="Public Sans"/>
        </w:rPr>
        <w:t>.e. are there any outstanding health issues and how are they being addressed.</w:t>
      </w:r>
    </w:p>
    <w:p w14:paraId="30468464" w14:textId="77777777" w:rsidR="00505D27" w:rsidRPr="00912F92" w:rsidRDefault="00505D27" w:rsidP="00152F06">
      <w:pPr>
        <w:pStyle w:val="Heading2"/>
        <w:spacing w:before="120" w:line="240" w:lineRule="auto"/>
        <w:rPr>
          <w:rFonts w:ascii="Public Sans" w:hAnsi="Public Sans" w:cs="Arial"/>
        </w:rPr>
      </w:pPr>
      <w:r w:rsidRPr="00912F92">
        <w:rPr>
          <w:rFonts w:ascii="Public Sans" w:hAnsi="Public Sans" w:cs="Arial"/>
        </w:rPr>
        <w:t>Step Down/Transition Planning</w:t>
      </w:r>
    </w:p>
    <w:p w14:paraId="3D770245" w14:textId="7B3DD5A0" w:rsidR="008F02A4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All children must have an exit strategy with associated actions and timeframes for both (preferably dates)</w:t>
      </w:r>
    </w:p>
    <w:p w14:paraId="5CC24619" w14:textId="0E396452" w:rsidR="008F02A4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Outline what actions have been done towards creating a strategy or transition (concisely)</w:t>
      </w:r>
      <w:r w:rsidR="008F02A4" w:rsidRPr="003E4577">
        <w:rPr>
          <w:rFonts w:ascii="Public Sans" w:hAnsi="Public Sans"/>
        </w:rPr>
        <w:t>.</w:t>
      </w:r>
      <w:r w:rsidR="004735E4" w:rsidRPr="003E4577">
        <w:rPr>
          <w:rFonts w:ascii="Public Sans" w:hAnsi="Public Sans"/>
        </w:rPr>
        <w:t xml:space="preserve"> This could include restoration and other permanency options, provisional authorisations underway for kinship care, transitions to foster care or other more preferred funded placement options</w:t>
      </w:r>
    </w:p>
    <w:p w14:paraId="17112609" w14:textId="0A62D4D1" w:rsidR="008F02A4" w:rsidRPr="003E4577" w:rsidRDefault="00505D27" w:rsidP="003E4577">
      <w:pPr>
        <w:pStyle w:val="ListParagraph"/>
        <w:numPr>
          <w:ilvl w:val="0"/>
          <w:numId w:val="15"/>
        </w:numPr>
        <w:spacing w:after="60" w:line="276" w:lineRule="auto"/>
        <w:ind w:left="714" w:hanging="357"/>
        <w:contextualSpacing w:val="0"/>
        <w:rPr>
          <w:rFonts w:ascii="Public Sans" w:hAnsi="Public Sans"/>
        </w:rPr>
      </w:pPr>
      <w:r w:rsidRPr="003E4577">
        <w:rPr>
          <w:rFonts w:ascii="Public Sans" w:hAnsi="Public Sans"/>
        </w:rPr>
        <w:t>Where possible, include information on alternat</w:t>
      </w:r>
      <w:r w:rsidR="007D6F06" w:rsidRPr="003E4577">
        <w:rPr>
          <w:rFonts w:ascii="Public Sans" w:hAnsi="Public Sans"/>
        </w:rPr>
        <w:t>iv</w:t>
      </w:r>
      <w:r w:rsidRPr="003E4577">
        <w:rPr>
          <w:rFonts w:ascii="Public Sans" w:hAnsi="Public Sans"/>
        </w:rPr>
        <w:t xml:space="preserve">e </w:t>
      </w:r>
      <w:r w:rsidR="007D6F06" w:rsidRPr="003E4577">
        <w:rPr>
          <w:rFonts w:ascii="Public Sans" w:hAnsi="Public Sans"/>
        </w:rPr>
        <w:t xml:space="preserve">or concurrent </w:t>
      </w:r>
      <w:r w:rsidRPr="003E4577">
        <w:rPr>
          <w:rFonts w:ascii="Public Sans" w:hAnsi="Public Sans"/>
        </w:rPr>
        <w:t xml:space="preserve">exit plans and/or respite options. </w:t>
      </w:r>
    </w:p>
    <w:p w14:paraId="5D4029E0" w14:textId="77777777" w:rsidR="003414E6" w:rsidRPr="00505D27" w:rsidRDefault="003414E6" w:rsidP="00E2376C">
      <w:pPr>
        <w:pStyle w:val="ListParagraph"/>
        <w:jc w:val="both"/>
        <w:rPr>
          <w:rFonts w:ascii="Public Sans" w:hAnsi="Public Sans"/>
          <w:color w:val="000000" w:themeColor="text1"/>
          <w:highlight w:val="yellow"/>
        </w:rPr>
      </w:pPr>
    </w:p>
    <w:sectPr w:rsidR="003414E6" w:rsidRPr="00505D27" w:rsidSect="003E4577">
      <w:headerReference w:type="default" r:id="rId7"/>
      <w:footerReference w:type="default" r:id="rId8"/>
      <w:pgSz w:w="11906" w:h="16838"/>
      <w:pgMar w:top="2026" w:right="1133" w:bottom="709" w:left="1440" w:header="1135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FE57" w14:textId="77777777" w:rsidR="00E705B0" w:rsidRDefault="00E705B0" w:rsidP="0059246D">
      <w:pPr>
        <w:spacing w:after="0" w:line="240" w:lineRule="auto"/>
      </w:pPr>
      <w:r>
        <w:separator/>
      </w:r>
    </w:p>
  </w:endnote>
  <w:endnote w:type="continuationSeparator" w:id="0">
    <w:p w14:paraId="2B0451C7" w14:textId="77777777" w:rsidR="00E705B0" w:rsidRDefault="00E705B0" w:rsidP="0059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337351"/>
      <w:docPartObj>
        <w:docPartGallery w:val="Page Numbers (Bottom of Page)"/>
        <w:docPartUnique/>
      </w:docPartObj>
    </w:sdtPr>
    <w:sdtEndPr>
      <w:rPr>
        <w:rFonts w:ascii="Public Sans" w:hAnsi="Public Sans"/>
      </w:rPr>
    </w:sdtEndPr>
    <w:sdtContent>
      <w:sdt>
        <w:sdtPr>
          <w:rPr>
            <w:rFonts w:ascii="Public Sans" w:hAnsi="Public Sans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2ACF3A" w14:textId="020BBD9F" w:rsidR="007D6F06" w:rsidRPr="007D6F06" w:rsidRDefault="007D6F06" w:rsidP="007D6F06">
            <w:pPr>
              <w:pStyle w:val="Footer"/>
              <w:jc w:val="right"/>
              <w:rPr>
                <w:rFonts w:ascii="Public Sans" w:hAnsi="Public Sans"/>
              </w:rPr>
            </w:pPr>
            <w:r w:rsidRPr="007D6F06">
              <w:rPr>
                <w:rFonts w:ascii="Public Sans" w:hAnsi="Public Sans"/>
                <w:sz w:val="20"/>
                <w:szCs w:val="20"/>
              </w:rPr>
              <w:t xml:space="preserve">Page </w:t>
            </w:r>
            <w:r w:rsidRPr="007D6F06">
              <w:rPr>
                <w:rFonts w:ascii="Public Sans" w:hAnsi="Public Sans"/>
                <w:b/>
                <w:bCs/>
              </w:rPr>
              <w:fldChar w:fldCharType="begin"/>
            </w:r>
            <w:r w:rsidRPr="007D6F06">
              <w:rPr>
                <w:rFonts w:ascii="Public Sans" w:hAnsi="Public Sans"/>
                <w:b/>
                <w:bCs/>
                <w:sz w:val="20"/>
                <w:szCs w:val="20"/>
              </w:rPr>
              <w:instrText xml:space="preserve"> PAGE </w:instrText>
            </w:r>
            <w:r w:rsidRPr="007D6F06">
              <w:rPr>
                <w:rFonts w:ascii="Public Sans" w:hAnsi="Public Sans"/>
                <w:b/>
                <w:bCs/>
              </w:rPr>
              <w:fldChar w:fldCharType="separate"/>
            </w:r>
            <w:r w:rsidRPr="007D6F06">
              <w:rPr>
                <w:rFonts w:ascii="Public Sans" w:hAnsi="Public Sans"/>
                <w:b/>
                <w:bCs/>
                <w:noProof/>
                <w:sz w:val="20"/>
                <w:szCs w:val="20"/>
              </w:rPr>
              <w:t>2</w:t>
            </w:r>
            <w:r w:rsidRPr="007D6F06">
              <w:rPr>
                <w:rFonts w:ascii="Public Sans" w:hAnsi="Public Sans"/>
                <w:b/>
                <w:bCs/>
              </w:rPr>
              <w:fldChar w:fldCharType="end"/>
            </w:r>
            <w:r w:rsidRPr="007D6F06">
              <w:rPr>
                <w:rFonts w:ascii="Public Sans" w:hAnsi="Public Sans"/>
                <w:sz w:val="20"/>
                <w:szCs w:val="20"/>
              </w:rPr>
              <w:t xml:space="preserve"> of </w:t>
            </w:r>
            <w:r w:rsidRPr="007D6F06">
              <w:rPr>
                <w:rFonts w:ascii="Public Sans" w:hAnsi="Public Sans"/>
                <w:b/>
                <w:bCs/>
              </w:rPr>
              <w:fldChar w:fldCharType="begin"/>
            </w:r>
            <w:r w:rsidRPr="007D6F06">
              <w:rPr>
                <w:rFonts w:ascii="Public Sans" w:hAnsi="Public Sans"/>
                <w:b/>
                <w:bCs/>
                <w:sz w:val="20"/>
                <w:szCs w:val="20"/>
              </w:rPr>
              <w:instrText xml:space="preserve"> NUMPAGES  </w:instrText>
            </w:r>
            <w:r w:rsidRPr="007D6F06">
              <w:rPr>
                <w:rFonts w:ascii="Public Sans" w:hAnsi="Public Sans"/>
                <w:b/>
                <w:bCs/>
              </w:rPr>
              <w:fldChar w:fldCharType="separate"/>
            </w:r>
            <w:r w:rsidRPr="007D6F06">
              <w:rPr>
                <w:rFonts w:ascii="Public Sans" w:hAnsi="Public Sans"/>
                <w:b/>
                <w:bCs/>
                <w:noProof/>
                <w:sz w:val="20"/>
                <w:szCs w:val="20"/>
              </w:rPr>
              <w:t>2</w:t>
            </w:r>
            <w:r w:rsidRPr="007D6F06">
              <w:rPr>
                <w:rFonts w:ascii="Public Sans" w:hAnsi="Public Sans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6A97" w14:textId="77777777" w:rsidR="00E705B0" w:rsidRDefault="00E705B0" w:rsidP="0059246D">
      <w:pPr>
        <w:spacing w:after="0" w:line="240" w:lineRule="auto"/>
      </w:pPr>
      <w:r>
        <w:separator/>
      </w:r>
    </w:p>
  </w:footnote>
  <w:footnote w:type="continuationSeparator" w:id="0">
    <w:p w14:paraId="49161E0D" w14:textId="77777777" w:rsidR="00E705B0" w:rsidRDefault="00E705B0" w:rsidP="0059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0968" w14:textId="56ABAA22" w:rsidR="007D6F06" w:rsidRPr="003E4577" w:rsidRDefault="007D6F06" w:rsidP="00733FC7">
    <w:pPr>
      <w:pStyle w:val="Header"/>
      <w:rPr>
        <w:rFonts w:cs="Arial"/>
        <w:b/>
        <w:noProof/>
        <w:color w:val="FF0000"/>
        <w:sz w:val="32"/>
        <w:szCs w:val="32"/>
        <w14:textOutline w14:w="9525" w14:cap="rnd" w14:cmpd="sng" w14:algn="ctr">
          <w14:noFill/>
          <w14:prstDash w14:val="solid"/>
          <w14:bevel/>
        </w14:textOutline>
      </w:rPr>
    </w:pPr>
    <w:r w:rsidRPr="003E4577">
      <w:rPr>
        <w:rFonts w:ascii="Public Sans" w:hAnsi="Public Sans"/>
        <w:noProof/>
        <w:sz w:val="12"/>
        <w:szCs w:val="12"/>
        <w:lang w:eastAsia="en-AU"/>
      </w:rPr>
      <w:drawing>
        <wp:inline distT="0" distB="0" distL="0" distR="0" wp14:anchorId="767ED034" wp14:editId="244346BD">
          <wp:extent cx="2446020" cy="572135"/>
          <wp:effectExtent l="0" t="0" r="0" b="0"/>
          <wp:docPr id="10" name="Picture 10" descr="cid:image001.png@01D91084.6155CA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1084.6155CA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E7A9D4" w14:textId="585C693C" w:rsidR="0059246D" w:rsidRPr="00721282" w:rsidRDefault="008E6DCF" w:rsidP="00C200F2">
    <w:pPr>
      <w:pStyle w:val="Header"/>
      <w:jc w:val="center"/>
      <w:rPr>
        <w:rFonts w:cs="Arial"/>
        <w:b/>
        <w:sz w:val="48"/>
        <w:szCs w:val="48"/>
        <w:lang w:val="en-US"/>
      </w:rPr>
    </w:pPr>
    <w:r>
      <w:rPr>
        <w:rFonts w:cs="Arial"/>
        <w:b/>
        <w:noProof/>
        <w:color w:val="FF0000"/>
        <w:sz w:val="48"/>
        <w:szCs w:val="48"/>
        <w14:textOutline w14:w="9525" w14:cap="rnd" w14:cmpd="sng" w14:algn="ctr">
          <w14:noFill/>
          <w14:prstDash w14:val="solid"/>
          <w14:bevel/>
        </w14:textOutline>
      </w:rPr>
      <w:t xml:space="preserve">NGO </w:t>
    </w:r>
    <w:r w:rsidR="0059246D" w:rsidRPr="00DE50BF">
      <w:rPr>
        <w:rFonts w:cs="Arial"/>
        <w:b/>
        <w:noProof/>
        <w:color w:val="FF0000"/>
        <w:sz w:val="48"/>
        <w:szCs w:val="48"/>
        <w14:textOutline w14:w="9525" w14:cap="rnd" w14:cmpd="sng" w14:algn="ctr">
          <w14:noFill/>
          <w14:prstDash w14:val="solid"/>
          <w14:bevel/>
        </w14:textOutline>
      </w:rPr>
      <w:t>INPUT DOCUMENT</w:t>
    </w:r>
  </w:p>
  <w:p w14:paraId="326B074D" w14:textId="77777777" w:rsidR="0059246D" w:rsidRPr="003E4577" w:rsidRDefault="0059246D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1DFE"/>
    <w:multiLevelType w:val="hybridMultilevel"/>
    <w:tmpl w:val="8BFA61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3B86"/>
    <w:multiLevelType w:val="hybridMultilevel"/>
    <w:tmpl w:val="CC72D36E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94E"/>
    <w:multiLevelType w:val="hybridMultilevel"/>
    <w:tmpl w:val="FB72D3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539D"/>
    <w:multiLevelType w:val="hybridMultilevel"/>
    <w:tmpl w:val="DA8E27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7B31EE"/>
    <w:multiLevelType w:val="hybridMultilevel"/>
    <w:tmpl w:val="70ACE74A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0251B"/>
    <w:multiLevelType w:val="hybridMultilevel"/>
    <w:tmpl w:val="DA8E27F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8850D1"/>
    <w:multiLevelType w:val="hybridMultilevel"/>
    <w:tmpl w:val="DEF4EE8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7F1A5A"/>
    <w:multiLevelType w:val="hybridMultilevel"/>
    <w:tmpl w:val="385A36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21FB3"/>
    <w:multiLevelType w:val="hybridMultilevel"/>
    <w:tmpl w:val="258829DE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16DB2"/>
    <w:multiLevelType w:val="hybridMultilevel"/>
    <w:tmpl w:val="404AD93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64049"/>
    <w:multiLevelType w:val="hybridMultilevel"/>
    <w:tmpl w:val="C3E607BC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8382B"/>
    <w:multiLevelType w:val="hybridMultilevel"/>
    <w:tmpl w:val="AB0EBA8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7F6654"/>
    <w:multiLevelType w:val="hybridMultilevel"/>
    <w:tmpl w:val="044418F8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344E4"/>
    <w:multiLevelType w:val="hybridMultilevel"/>
    <w:tmpl w:val="2ECCB31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DF95C62"/>
    <w:multiLevelType w:val="hybridMultilevel"/>
    <w:tmpl w:val="3E9096FE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DA4D00"/>
    <w:multiLevelType w:val="hybridMultilevel"/>
    <w:tmpl w:val="8FE6F1DC"/>
    <w:lvl w:ilvl="0" w:tplc="97FAB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D024D"/>
    <w:multiLevelType w:val="hybridMultilevel"/>
    <w:tmpl w:val="E25465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F61CFC"/>
    <w:multiLevelType w:val="hybridMultilevel"/>
    <w:tmpl w:val="3D02C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572831">
    <w:abstractNumId w:val="13"/>
  </w:num>
  <w:num w:numId="2" w16cid:durableId="1753814500">
    <w:abstractNumId w:val="11"/>
  </w:num>
  <w:num w:numId="3" w16cid:durableId="404374549">
    <w:abstractNumId w:val="16"/>
  </w:num>
  <w:num w:numId="4" w16cid:durableId="1632249507">
    <w:abstractNumId w:val="9"/>
  </w:num>
  <w:num w:numId="5" w16cid:durableId="873808862">
    <w:abstractNumId w:val="6"/>
  </w:num>
  <w:num w:numId="6" w16cid:durableId="1092972437">
    <w:abstractNumId w:val="12"/>
  </w:num>
  <w:num w:numId="7" w16cid:durableId="42217277">
    <w:abstractNumId w:val="7"/>
  </w:num>
  <w:num w:numId="8" w16cid:durableId="1104694238">
    <w:abstractNumId w:val="3"/>
  </w:num>
  <w:num w:numId="9" w16cid:durableId="214507969">
    <w:abstractNumId w:val="5"/>
  </w:num>
  <w:num w:numId="10" w16cid:durableId="1336493883">
    <w:abstractNumId w:val="2"/>
  </w:num>
  <w:num w:numId="11" w16cid:durableId="1560365575">
    <w:abstractNumId w:val="1"/>
  </w:num>
  <w:num w:numId="12" w16cid:durableId="533079784">
    <w:abstractNumId w:val="0"/>
  </w:num>
  <w:num w:numId="13" w16cid:durableId="272202454">
    <w:abstractNumId w:val="0"/>
  </w:num>
  <w:num w:numId="14" w16cid:durableId="1304851001">
    <w:abstractNumId w:val="17"/>
  </w:num>
  <w:num w:numId="15" w16cid:durableId="1723017924">
    <w:abstractNumId w:val="8"/>
  </w:num>
  <w:num w:numId="16" w16cid:durableId="935987645">
    <w:abstractNumId w:val="10"/>
  </w:num>
  <w:num w:numId="17" w16cid:durableId="1405562851">
    <w:abstractNumId w:val="14"/>
  </w:num>
  <w:num w:numId="18" w16cid:durableId="689451857">
    <w:abstractNumId w:val="15"/>
  </w:num>
  <w:num w:numId="19" w16cid:durableId="743988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47D"/>
    <w:rsid w:val="00010160"/>
    <w:rsid w:val="00074ECF"/>
    <w:rsid w:val="00152F06"/>
    <w:rsid w:val="00154486"/>
    <w:rsid w:val="001660FB"/>
    <w:rsid w:val="00236463"/>
    <w:rsid w:val="00244839"/>
    <w:rsid w:val="002470F2"/>
    <w:rsid w:val="002803C8"/>
    <w:rsid w:val="002A1445"/>
    <w:rsid w:val="002A2261"/>
    <w:rsid w:val="00301A8A"/>
    <w:rsid w:val="003414E6"/>
    <w:rsid w:val="003E4577"/>
    <w:rsid w:val="003F725C"/>
    <w:rsid w:val="004735E4"/>
    <w:rsid w:val="00487FFD"/>
    <w:rsid w:val="00501195"/>
    <w:rsid w:val="00505D27"/>
    <w:rsid w:val="00580CC9"/>
    <w:rsid w:val="0059246D"/>
    <w:rsid w:val="005C01C1"/>
    <w:rsid w:val="005D6693"/>
    <w:rsid w:val="0062706D"/>
    <w:rsid w:val="0066473D"/>
    <w:rsid w:val="00733FC7"/>
    <w:rsid w:val="007D6F06"/>
    <w:rsid w:val="008052CC"/>
    <w:rsid w:val="0089560D"/>
    <w:rsid w:val="008A4A76"/>
    <w:rsid w:val="008E673A"/>
    <w:rsid w:val="008E6DCF"/>
    <w:rsid w:val="008E7E2E"/>
    <w:rsid w:val="008F02A4"/>
    <w:rsid w:val="00912F92"/>
    <w:rsid w:val="009621E8"/>
    <w:rsid w:val="00975CC7"/>
    <w:rsid w:val="00A11BF0"/>
    <w:rsid w:val="00A35EC6"/>
    <w:rsid w:val="00A504F4"/>
    <w:rsid w:val="00AE2DF7"/>
    <w:rsid w:val="00B30E91"/>
    <w:rsid w:val="00BB5CD7"/>
    <w:rsid w:val="00BB6329"/>
    <w:rsid w:val="00C200F2"/>
    <w:rsid w:val="00C20E4B"/>
    <w:rsid w:val="00CE4F2D"/>
    <w:rsid w:val="00D01F4B"/>
    <w:rsid w:val="00D3686E"/>
    <w:rsid w:val="00D42817"/>
    <w:rsid w:val="00DF7D60"/>
    <w:rsid w:val="00E2376C"/>
    <w:rsid w:val="00E705B0"/>
    <w:rsid w:val="00E9540A"/>
    <w:rsid w:val="00EC647D"/>
    <w:rsid w:val="00ED0784"/>
    <w:rsid w:val="00F1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DECBFAF"/>
  <w15:chartTrackingRefBased/>
  <w15:docId w15:val="{16B57C47-3E47-47A3-BE86-368A638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BodyText"/>
    <w:link w:val="Heading2Char"/>
    <w:uiPriority w:val="4"/>
    <w:qFormat/>
    <w:rsid w:val="00F178D0"/>
    <w:pPr>
      <w:spacing w:before="200" w:after="0" w:line="280" w:lineRule="atLeast"/>
      <w:outlineLvl w:val="1"/>
    </w:pPr>
    <w:rPr>
      <w:rFonts w:ascii="Arial" w:eastAsia="Times New Roman" w:hAnsi="Arial" w:cs="Times New Roman"/>
      <w:b/>
      <w:color w:val="00266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6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7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59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246D"/>
  </w:style>
  <w:style w:type="paragraph" w:styleId="Footer">
    <w:name w:val="footer"/>
    <w:basedOn w:val="Normal"/>
    <w:link w:val="FooterChar"/>
    <w:uiPriority w:val="99"/>
    <w:unhideWhenUsed/>
    <w:rsid w:val="005924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246D"/>
  </w:style>
  <w:style w:type="character" w:styleId="CommentReference">
    <w:name w:val="annotation reference"/>
    <w:basedOn w:val="DefaultParagraphFont"/>
    <w:uiPriority w:val="99"/>
    <w:semiHidden/>
    <w:unhideWhenUsed/>
    <w:rsid w:val="00AE2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D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0119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4"/>
    <w:rsid w:val="00F178D0"/>
    <w:rPr>
      <w:rFonts w:ascii="Arial" w:eastAsia="Times New Roman" w:hAnsi="Arial" w:cs="Times New Roman"/>
      <w:b/>
      <w:color w:val="002664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F178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1084.6155CA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3513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Communites &amp; Justice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IPA and ACA Briefing Note (BN) Input Template</dc:title>
  <dc:subject/>
  <dc:creator>Elizabeth McKay</dc:creator>
  <cp:keywords/>
  <dc:description/>
  <cp:lastModifiedBy>Nicole Martin</cp:lastModifiedBy>
  <cp:revision>2</cp:revision>
  <dcterms:created xsi:type="dcterms:W3CDTF">2025-03-31T04:57:00Z</dcterms:created>
  <dcterms:modified xsi:type="dcterms:W3CDTF">2025-03-31T04:57:00Z</dcterms:modified>
</cp:coreProperties>
</file>